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270" w:rsidRPr="005F5270" w:rsidRDefault="005F5270" w:rsidP="009A56AB">
      <w:pPr>
        <w:pStyle w:val="Textoindependiente"/>
        <w:widowControl w:val="0"/>
        <w:tabs>
          <w:tab w:val="left" w:pos="2410"/>
          <w:tab w:val="left" w:pos="3544"/>
          <w:tab w:val="left" w:pos="6096"/>
          <w:tab w:val="left" w:pos="6946"/>
        </w:tabs>
        <w:suppressAutoHyphens/>
        <w:spacing w:after="0" w:line="240" w:lineRule="auto"/>
        <w:ind w:left="3544" w:right="2409" w:hanging="992"/>
        <w:jc w:val="both"/>
        <w:rPr>
          <w:rFonts w:ascii="Tahoma" w:hAnsi="Tahoma" w:cs="Tahoma"/>
          <w:i/>
          <w:sz w:val="20"/>
          <w:szCs w:val="20"/>
          <w:lang w:val="es-PE"/>
        </w:rPr>
      </w:pPr>
      <w:r w:rsidRPr="005F5270">
        <w:rPr>
          <w:rFonts w:ascii="Tahoma" w:hAnsi="Tahoma" w:cs="Tahoma"/>
          <w:b/>
          <w:i/>
          <w:sz w:val="20"/>
          <w:szCs w:val="20"/>
        </w:rPr>
        <w:t xml:space="preserve">Sumilla: </w:t>
      </w:r>
      <w:r w:rsidRPr="005F5270">
        <w:rPr>
          <w:rFonts w:ascii="Tahoma" w:hAnsi="Tahoma" w:cs="Tahoma"/>
          <w:i/>
          <w:sz w:val="20"/>
          <w:szCs w:val="20"/>
        </w:rPr>
        <w:t>Para la configuración del supuesto de presentación de documentación falsa, se requiere acreditar la falsedad, esto es que el documento cuestionado no haya sido válidamente expedido por el órgano o agente emisor o que, siendo válidamente expedido, haya sido adulterado en su contenido.</w:t>
      </w:r>
    </w:p>
    <w:p w:rsidR="005F5270" w:rsidRPr="005F5270" w:rsidRDefault="005F5270" w:rsidP="005F5270">
      <w:pPr>
        <w:pStyle w:val="Textoindependiente3"/>
        <w:spacing w:after="0"/>
        <w:ind w:left="4248" w:right="179" w:firstLine="708"/>
        <w:jc w:val="both"/>
        <w:rPr>
          <w:rFonts w:ascii="Tahoma" w:hAnsi="Tahoma" w:cs="Tahoma"/>
          <w:b/>
          <w:sz w:val="20"/>
          <w:szCs w:val="20"/>
        </w:rPr>
      </w:pPr>
    </w:p>
    <w:p w:rsidR="005F5270" w:rsidRPr="005F5270" w:rsidRDefault="005F5270" w:rsidP="005F5270">
      <w:pPr>
        <w:pStyle w:val="Textoindependiente3"/>
        <w:spacing w:after="0"/>
        <w:ind w:left="4248" w:right="179" w:firstLine="708"/>
        <w:jc w:val="both"/>
        <w:rPr>
          <w:rFonts w:ascii="Tahoma" w:hAnsi="Tahoma" w:cs="Tahoma"/>
          <w:sz w:val="20"/>
          <w:szCs w:val="20"/>
        </w:rPr>
      </w:pPr>
      <w:r w:rsidRPr="005F5270">
        <w:rPr>
          <w:rFonts w:ascii="Tahoma" w:hAnsi="Tahoma" w:cs="Tahoma"/>
          <w:b/>
          <w:sz w:val="20"/>
          <w:szCs w:val="20"/>
        </w:rPr>
        <w:t>Lima</w:t>
      </w:r>
      <w:r w:rsidRPr="005F5270">
        <w:rPr>
          <w:rFonts w:ascii="Tahoma" w:hAnsi="Tahoma" w:cs="Tahoma"/>
          <w:sz w:val="20"/>
          <w:szCs w:val="20"/>
        </w:rPr>
        <w:t xml:space="preserve">, </w:t>
      </w:r>
      <w:r w:rsidR="00A21300">
        <w:rPr>
          <w:rFonts w:ascii="Tahoma" w:hAnsi="Tahoma" w:cs="Tahoma"/>
          <w:sz w:val="20"/>
          <w:szCs w:val="20"/>
        </w:rPr>
        <w:t>17 de Junio de 2011</w:t>
      </w:r>
    </w:p>
    <w:p w:rsidR="005F5270" w:rsidRPr="005F5270" w:rsidRDefault="005F5270" w:rsidP="005F5270">
      <w:pPr>
        <w:pStyle w:val="Textoindependiente3"/>
        <w:spacing w:after="0"/>
        <w:jc w:val="both"/>
        <w:rPr>
          <w:rFonts w:ascii="Tahoma" w:hAnsi="Tahoma" w:cs="Tahoma"/>
          <w:sz w:val="20"/>
          <w:szCs w:val="20"/>
        </w:rPr>
      </w:pPr>
    </w:p>
    <w:p w:rsidR="005F5270" w:rsidRPr="005F5270" w:rsidRDefault="005F5270" w:rsidP="005F5270">
      <w:pPr>
        <w:spacing w:after="0" w:line="240" w:lineRule="auto"/>
        <w:jc w:val="both"/>
        <w:rPr>
          <w:rFonts w:ascii="Tahoma" w:hAnsi="Tahoma" w:cs="Tahoma"/>
          <w:sz w:val="20"/>
          <w:szCs w:val="20"/>
        </w:rPr>
      </w:pPr>
      <w:r w:rsidRPr="005F5270">
        <w:rPr>
          <w:rFonts w:ascii="Tahoma" w:hAnsi="Tahoma" w:cs="Tahoma"/>
          <w:b/>
          <w:sz w:val="20"/>
          <w:szCs w:val="20"/>
        </w:rPr>
        <w:t>VISTO</w:t>
      </w:r>
      <w:r w:rsidRPr="005F5270">
        <w:rPr>
          <w:rFonts w:ascii="Tahoma" w:hAnsi="Tahoma" w:cs="Tahoma"/>
          <w:sz w:val="20"/>
          <w:szCs w:val="20"/>
        </w:rPr>
        <w:t xml:space="preserve"> en sesión de fecha 15 de junio de 2011 de la Primera Sala del Tribunal de Contrataciones del Estado el Expediente № </w:t>
      </w:r>
      <w:r w:rsidR="009A56AB">
        <w:rPr>
          <w:rFonts w:ascii="Tahoma" w:hAnsi="Tahoma" w:cs="Tahoma"/>
          <w:sz w:val="20"/>
          <w:szCs w:val="20"/>
        </w:rPr>
        <w:t>530</w:t>
      </w:r>
      <w:r w:rsidRPr="005F5270">
        <w:rPr>
          <w:rFonts w:ascii="Tahoma" w:hAnsi="Tahoma" w:cs="Tahoma"/>
          <w:sz w:val="20"/>
          <w:szCs w:val="20"/>
        </w:rPr>
        <w:t xml:space="preserve">/2011.TC, sobre el procedimiento administrativo sancionador contra </w:t>
      </w:r>
      <w:r w:rsidR="009A56AB" w:rsidRPr="005F5270">
        <w:rPr>
          <w:rFonts w:ascii="Tahoma" w:hAnsi="Tahoma" w:cs="Tahoma"/>
          <w:sz w:val="20"/>
          <w:szCs w:val="20"/>
          <w:lang w:val="es-PE"/>
        </w:rPr>
        <w:t>la empresa HERMANOS CONTRATISTAS SERVICIOS GENERALES S.R.L. (HERCO SERVICIOS GENERALES S.R.L.)</w:t>
      </w:r>
      <w:r w:rsidRPr="005F5270">
        <w:rPr>
          <w:rFonts w:ascii="Tahoma" w:hAnsi="Tahoma" w:cs="Tahoma"/>
          <w:sz w:val="20"/>
          <w:szCs w:val="20"/>
        </w:rPr>
        <w:t xml:space="preserve">, </w:t>
      </w:r>
      <w:r w:rsidRPr="005F5270">
        <w:rPr>
          <w:rFonts w:ascii="Tahoma" w:hAnsi="Tahoma" w:cs="Tahoma"/>
          <w:sz w:val="20"/>
          <w:szCs w:val="20"/>
          <w:lang w:val="es-MX"/>
        </w:rPr>
        <w:t xml:space="preserve">por supuesta responsabilidad en haber presentado documentos falsos y/o inexactos durante su trámite de inscripción </w:t>
      </w:r>
      <w:r w:rsidRPr="005F5270">
        <w:rPr>
          <w:rFonts w:ascii="Tahoma" w:hAnsi="Tahoma" w:cs="Tahoma"/>
          <w:sz w:val="20"/>
          <w:szCs w:val="20"/>
          <w:lang w:val="es-PE"/>
        </w:rPr>
        <w:t>como consultor de Obras en el Registro Nacional de Proveedores; y</w:t>
      </w:r>
      <w:r w:rsidRPr="005F5270">
        <w:rPr>
          <w:rFonts w:ascii="Tahoma" w:hAnsi="Tahoma" w:cs="Tahoma"/>
          <w:sz w:val="20"/>
          <w:szCs w:val="20"/>
        </w:rPr>
        <w:t xml:space="preserve">, atendiendo a los siguientes:   </w:t>
      </w:r>
    </w:p>
    <w:p w:rsidR="005F5270" w:rsidRPr="005F5270" w:rsidRDefault="005F5270" w:rsidP="005F5270">
      <w:pPr>
        <w:spacing w:after="0" w:line="240" w:lineRule="auto"/>
        <w:ind w:right="45"/>
        <w:jc w:val="both"/>
        <w:rPr>
          <w:rFonts w:ascii="Tahoma" w:hAnsi="Tahoma" w:cs="Tahoma"/>
          <w:sz w:val="20"/>
          <w:szCs w:val="20"/>
        </w:rPr>
      </w:pPr>
    </w:p>
    <w:p w:rsidR="005F5270" w:rsidRPr="005F5270" w:rsidRDefault="005F5270" w:rsidP="005F5270">
      <w:pPr>
        <w:pStyle w:val="Ttulo2"/>
        <w:jc w:val="both"/>
        <w:rPr>
          <w:rFonts w:cs="Tahoma"/>
          <w:sz w:val="20"/>
        </w:rPr>
      </w:pPr>
      <w:r w:rsidRPr="005F5270">
        <w:rPr>
          <w:rFonts w:cs="Tahoma"/>
          <w:sz w:val="20"/>
        </w:rPr>
        <w:t>ANTECEDENTES:</w:t>
      </w:r>
    </w:p>
    <w:p w:rsidR="005F5270" w:rsidRDefault="005F5270" w:rsidP="005F5270">
      <w:pPr>
        <w:pStyle w:val="NormalWeb"/>
        <w:tabs>
          <w:tab w:val="num" w:pos="900"/>
        </w:tabs>
        <w:spacing w:before="0" w:beforeAutospacing="0" w:after="0" w:afterAutospacing="0"/>
        <w:ind w:left="360"/>
        <w:jc w:val="both"/>
        <w:rPr>
          <w:rFonts w:ascii="Tahoma" w:hAnsi="Tahoma" w:cs="Tahoma"/>
          <w:sz w:val="20"/>
          <w:szCs w:val="20"/>
          <w:lang w:val="es-PE"/>
        </w:rPr>
      </w:pPr>
    </w:p>
    <w:p w:rsidR="005F5270" w:rsidRPr="005F5270" w:rsidRDefault="005F5270" w:rsidP="005F5270">
      <w:pPr>
        <w:pStyle w:val="NormalWeb"/>
        <w:numPr>
          <w:ilvl w:val="0"/>
          <w:numId w:val="1"/>
        </w:numPr>
        <w:tabs>
          <w:tab w:val="num" w:pos="900"/>
        </w:tabs>
        <w:spacing w:before="0" w:beforeAutospacing="0" w:after="0" w:afterAutospacing="0"/>
        <w:jc w:val="both"/>
        <w:rPr>
          <w:rFonts w:ascii="Tahoma" w:hAnsi="Tahoma" w:cs="Tahoma"/>
          <w:sz w:val="20"/>
          <w:szCs w:val="20"/>
          <w:lang w:val="es-PE"/>
        </w:rPr>
      </w:pPr>
      <w:r w:rsidRPr="005F5270">
        <w:rPr>
          <w:rFonts w:ascii="Tahoma" w:hAnsi="Tahoma" w:cs="Tahoma"/>
          <w:sz w:val="20"/>
          <w:szCs w:val="20"/>
          <w:lang w:val="es-PE"/>
        </w:rPr>
        <w:t xml:space="preserve">El 25 de enero de 2008, la empresa HERMANOS CONTRATISTAS SERVICIOS GENERALES S.R.L. (HERCO SERVICIOS GENERALES S.R.L.), en adelante el Proveedor, solicitó su inscripción como consultor de obras ante el Registro Nacional de Proveedores (RNP). </w:t>
      </w:r>
    </w:p>
    <w:p w:rsidR="005F5270" w:rsidRPr="005F5270" w:rsidRDefault="005F5270" w:rsidP="005F5270">
      <w:pPr>
        <w:pStyle w:val="NormalWeb"/>
        <w:tabs>
          <w:tab w:val="num" w:pos="900"/>
        </w:tabs>
        <w:spacing w:before="0" w:beforeAutospacing="0" w:after="0" w:afterAutospacing="0"/>
        <w:jc w:val="both"/>
        <w:rPr>
          <w:rFonts w:ascii="Tahoma" w:hAnsi="Tahoma" w:cs="Tahoma"/>
          <w:sz w:val="20"/>
          <w:szCs w:val="20"/>
          <w:lang w:val="es-PE"/>
        </w:rPr>
      </w:pPr>
    </w:p>
    <w:p w:rsidR="005F5270" w:rsidRPr="005F5270" w:rsidRDefault="005F5270" w:rsidP="005F5270">
      <w:pPr>
        <w:pStyle w:val="NormalWeb"/>
        <w:numPr>
          <w:ilvl w:val="0"/>
          <w:numId w:val="1"/>
        </w:numPr>
        <w:tabs>
          <w:tab w:val="num" w:pos="900"/>
        </w:tabs>
        <w:spacing w:before="0" w:beforeAutospacing="0" w:after="0" w:afterAutospacing="0"/>
        <w:jc w:val="both"/>
        <w:rPr>
          <w:rFonts w:ascii="Tahoma" w:hAnsi="Tahoma" w:cs="Tahoma"/>
          <w:sz w:val="20"/>
          <w:szCs w:val="20"/>
          <w:lang w:val="es-PE"/>
        </w:rPr>
      </w:pPr>
      <w:r w:rsidRPr="005F5270">
        <w:rPr>
          <w:rFonts w:ascii="Tahoma" w:hAnsi="Tahoma" w:cs="Tahoma"/>
          <w:sz w:val="20"/>
          <w:szCs w:val="20"/>
          <w:lang w:val="es-PE"/>
        </w:rPr>
        <w:t>Con fecha 14 de febrero de 2008, mediante Resolución Nº 1196/2008-CONSUCODE/SRNP, se aprobó la referida solicitud, otorgándosele la especialidad de consultoría en obras menores.</w:t>
      </w:r>
    </w:p>
    <w:p w:rsidR="005F5270" w:rsidRPr="005F5270" w:rsidRDefault="005F5270" w:rsidP="005F5270">
      <w:pPr>
        <w:pStyle w:val="Prrafodelista"/>
        <w:rPr>
          <w:rFonts w:ascii="Tahoma" w:hAnsi="Tahoma" w:cs="Tahoma"/>
          <w:sz w:val="20"/>
          <w:lang w:val="es-PE"/>
        </w:rPr>
      </w:pPr>
    </w:p>
    <w:p w:rsidR="005F5270" w:rsidRPr="005F5270" w:rsidRDefault="005F5270" w:rsidP="005F5270">
      <w:pPr>
        <w:pStyle w:val="NormalWeb"/>
        <w:tabs>
          <w:tab w:val="num" w:pos="900"/>
        </w:tabs>
        <w:spacing w:before="0" w:beforeAutospacing="0" w:after="0" w:afterAutospacing="0"/>
        <w:ind w:left="360"/>
        <w:jc w:val="both"/>
        <w:rPr>
          <w:rFonts w:ascii="Tahoma" w:hAnsi="Tahoma" w:cs="Tahoma"/>
          <w:sz w:val="20"/>
          <w:szCs w:val="20"/>
          <w:lang w:val="es-PE"/>
        </w:rPr>
      </w:pPr>
      <w:r w:rsidRPr="005F5270">
        <w:rPr>
          <w:rFonts w:ascii="Tahoma" w:hAnsi="Tahoma" w:cs="Tahoma"/>
          <w:sz w:val="20"/>
          <w:szCs w:val="20"/>
          <w:lang w:val="es-PE"/>
        </w:rPr>
        <w:t>En la misma fecha se expidió a favor de la empresa el Certificado de Inscripción</w:t>
      </w:r>
      <w:r w:rsidRPr="005F5270">
        <w:rPr>
          <w:rFonts w:ascii="Tahoma" w:hAnsi="Tahoma" w:cs="Tahoma"/>
          <w:sz w:val="20"/>
          <w:szCs w:val="20"/>
          <w:lang w:val="es-PE"/>
        </w:rPr>
        <w:br/>
        <w:t>Nº 474 con vigencia hasta el 14 de febrero de 2009, en razón de haber cumplido con los requisitos legales correspondientes.</w:t>
      </w:r>
    </w:p>
    <w:p w:rsidR="005F5270" w:rsidRPr="005F5270" w:rsidRDefault="005F5270" w:rsidP="005F5270">
      <w:pPr>
        <w:pStyle w:val="Prrafodelista"/>
        <w:rPr>
          <w:rFonts w:ascii="Tahoma" w:hAnsi="Tahoma" w:cs="Tahoma"/>
          <w:sz w:val="20"/>
          <w:lang w:val="es-PE"/>
        </w:rPr>
      </w:pPr>
    </w:p>
    <w:p w:rsidR="005F5270" w:rsidRPr="005F5270" w:rsidRDefault="005F5270" w:rsidP="005F5270">
      <w:pPr>
        <w:pStyle w:val="NormalWeb"/>
        <w:numPr>
          <w:ilvl w:val="0"/>
          <w:numId w:val="1"/>
        </w:numPr>
        <w:tabs>
          <w:tab w:val="num" w:pos="900"/>
        </w:tabs>
        <w:spacing w:before="0" w:beforeAutospacing="0" w:after="0" w:afterAutospacing="0"/>
        <w:jc w:val="both"/>
        <w:rPr>
          <w:rFonts w:ascii="Tahoma" w:hAnsi="Tahoma" w:cs="Tahoma"/>
          <w:sz w:val="20"/>
          <w:szCs w:val="20"/>
        </w:rPr>
      </w:pPr>
      <w:r w:rsidRPr="005F5270">
        <w:rPr>
          <w:rFonts w:ascii="Tahoma" w:hAnsi="Tahoma" w:cs="Tahoma"/>
          <w:sz w:val="20"/>
          <w:szCs w:val="20"/>
          <w:lang w:val="es-PE"/>
        </w:rPr>
        <w:t>Mediante Oficio Nº 2710-2009-OSCE-DSFE/SF.GF de fecha 02 de julio de 2009, notificado el 25 de julio de 2009, la Dirección de supervisión, Fiscalización y Estudios, solicitó al ingeniero Nilton Giovanni Malpartida Moya brindar conformidad al contenido y firma consignada en la Declaración Jurada de Integrantes del Plantel Técnico.</w:t>
      </w:r>
    </w:p>
    <w:p w:rsidR="005F5270" w:rsidRPr="005F5270" w:rsidRDefault="005F5270" w:rsidP="005F5270">
      <w:pPr>
        <w:pStyle w:val="NormalWeb"/>
        <w:tabs>
          <w:tab w:val="num" w:pos="900"/>
        </w:tabs>
        <w:spacing w:before="0" w:beforeAutospacing="0" w:after="0" w:afterAutospacing="0"/>
        <w:ind w:left="360"/>
        <w:jc w:val="both"/>
        <w:rPr>
          <w:rFonts w:ascii="Tahoma" w:hAnsi="Tahoma" w:cs="Tahoma"/>
          <w:sz w:val="20"/>
          <w:szCs w:val="20"/>
        </w:rPr>
      </w:pPr>
    </w:p>
    <w:p w:rsidR="005F5270" w:rsidRPr="005F5270" w:rsidRDefault="005F5270" w:rsidP="005F5270">
      <w:pPr>
        <w:pStyle w:val="NormalWeb"/>
        <w:numPr>
          <w:ilvl w:val="0"/>
          <w:numId w:val="1"/>
        </w:numPr>
        <w:tabs>
          <w:tab w:val="num" w:pos="900"/>
        </w:tabs>
        <w:spacing w:before="0" w:beforeAutospacing="0" w:after="0" w:afterAutospacing="0"/>
        <w:jc w:val="both"/>
        <w:rPr>
          <w:rFonts w:ascii="Tahoma" w:hAnsi="Tahoma" w:cs="Tahoma"/>
          <w:sz w:val="20"/>
          <w:szCs w:val="20"/>
        </w:rPr>
      </w:pPr>
      <w:r w:rsidRPr="005F5270">
        <w:rPr>
          <w:rFonts w:ascii="Tahoma" w:hAnsi="Tahoma" w:cs="Tahoma"/>
          <w:sz w:val="20"/>
          <w:szCs w:val="20"/>
        </w:rPr>
        <w:t>Con Carta Nº 15-2009 NGMM de fecha 30 de julio de 2009, recibida el 06 de agosto del mismo año, el profesional consultado informó que no laboraba como integrante del plantel técnico del Proveedor.</w:t>
      </w:r>
    </w:p>
    <w:p w:rsidR="005F5270" w:rsidRPr="005F5270" w:rsidRDefault="005F5270" w:rsidP="005F5270">
      <w:pPr>
        <w:pStyle w:val="Prrafodelista"/>
        <w:rPr>
          <w:rFonts w:ascii="Tahoma" w:hAnsi="Tahoma" w:cs="Tahoma"/>
          <w:sz w:val="20"/>
        </w:rPr>
      </w:pPr>
    </w:p>
    <w:p w:rsidR="005F5270" w:rsidRPr="005F5270" w:rsidRDefault="005F5270" w:rsidP="005F5270">
      <w:pPr>
        <w:pStyle w:val="NormalWeb"/>
        <w:numPr>
          <w:ilvl w:val="0"/>
          <w:numId w:val="1"/>
        </w:numPr>
        <w:tabs>
          <w:tab w:val="num" w:pos="900"/>
        </w:tabs>
        <w:spacing w:before="0" w:beforeAutospacing="0" w:after="0" w:afterAutospacing="0"/>
        <w:jc w:val="both"/>
        <w:rPr>
          <w:rFonts w:ascii="Tahoma" w:hAnsi="Tahoma" w:cs="Tahoma"/>
          <w:sz w:val="20"/>
          <w:szCs w:val="20"/>
        </w:rPr>
      </w:pPr>
      <w:r w:rsidRPr="005F5270">
        <w:rPr>
          <w:rFonts w:ascii="Tahoma" w:hAnsi="Tahoma" w:cs="Tahoma"/>
          <w:sz w:val="20"/>
          <w:szCs w:val="20"/>
        </w:rPr>
        <w:t xml:space="preserve">Mediante Oficio Nº 2869-2010-OSCE-DSF/SFIS.AA de fecha 23 de junio de 2010, </w:t>
      </w:r>
      <w:r w:rsidRPr="005F5270">
        <w:rPr>
          <w:rFonts w:ascii="Tahoma" w:hAnsi="Tahoma" w:cs="Tahoma"/>
          <w:sz w:val="20"/>
          <w:szCs w:val="20"/>
          <w:lang w:val="es-PE"/>
        </w:rPr>
        <w:t xml:space="preserve">la Dirección de Supervisión, Fiscalización y Estudios, </w:t>
      </w:r>
      <w:r w:rsidRPr="005F5270">
        <w:rPr>
          <w:rFonts w:ascii="Tahoma" w:hAnsi="Tahoma" w:cs="Tahoma"/>
          <w:sz w:val="20"/>
          <w:szCs w:val="20"/>
        </w:rPr>
        <w:t xml:space="preserve">le indicó al Ing. Nilton Malpartida Moya, que independientemente de la respuesta otorgada mediante carta Nº 15-2009, se sirva indicar de manera expresa si suscribió </w:t>
      </w:r>
      <w:r w:rsidRPr="005F5270">
        <w:rPr>
          <w:rFonts w:ascii="Tahoma" w:hAnsi="Tahoma" w:cs="Tahoma"/>
          <w:sz w:val="20"/>
          <w:szCs w:val="20"/>
          <w:lang w:val="es-PE"/>
        </w:rPr>
        <w:t>Declaración Jurada de Integrantes del Plantel Técnico.</w:t>
      </w:r>
    </w:p>
    <w:p w:rsidR="005F5270" w:rsidRPr="005F5270" w:rsidRDefault="005F5270" w:rsidP="005F5270">
      <w:pPr>
        <w:pStyle w:val="Prrafodelista"/>
        <w:rPr>
          <w:rFonts w:ascii="Tahoma" w:hAnsi="Tahoma" w:cs="Tahoma"/>
          <w:sz w:val="20"/>
        </w:rPr>
      </w:pPr>
    </w:p>
    <w:p w:rsidR="005F5270" w:rsidRPr="005F5270" w:rsidRDefault="005F5270" w:rsidP="005F5270">
      <w:pPr>
        <w:pStyle w:val="NormalWeb"/>
        <w:numPr>
          <w:ilvl w:val="0"/>
          <w:numId w:val="1"/>
        </w:numPr>
        <w:tabs>
          <w:tab w:val="num" w:pos="900"/>
        </w:tabs>
        <w:spacing w:before="0" w:beforeAutospacing="0" w:after="0" w:afterAutospacing="0"/>
        <w:jc w:val="both"/>
        <w:rPr>
          <w:rFonts w:ascii="Tahoma" w:hAnsi="Tahoma" w:cs="Tahoma"/>
          <w:sz w:val="20"/>
          <w:szCs w:val="20"/>
        </w:rPr>
      </w:pPr>
      <w:r w:rsidRPr="005F5270">
        <w:rPr>
          <w:rFonts w:ascii="Tahoma" w:hAnsi="Tahoma" w:cs="Tahoma"/>
          <w:sz w:val="20"/>
          <w:szCs w:val="20"/>
        </w:rPr>
        <w:t>Con Oficio</w:t>
      </w:r>
      <w:r w:rsidRPr="005F5270">
        <w:rPr>
          <w:rFonts w:ascii="Tahoma" w:hAnsi="Tahoma" w:cs="Tahoma"/>
          <w:sz w:val="20"/>
          <w:szCs w:val="20"/>
          <w:lang w:val="es-PE"/>
        </w:rPr>
        <w:t xml:space="preserve"> Nº 3256-2010-OSCE-DSF/SFIS.AA, de fecha 22 de julio de 2010 y notificado el 06 de agosto del mismo año, la Dirección de Supervisión, Fiscalización y Estudios le reiteró al Ing. </w:t>
      </w:r>
      <w:r w:rsidRPr="005F5270">
        <w:rPr>
          <w:rFonts w:ascii="Tahoma" w:hAnsi="Tahoma" w:cs="Tahoma"/>
          <w:sz w:val="20"/>
          <w:szCs w:val="20"/>
        </w:rPr>
        <w:t>Nilton Malpartida Moya el requerimiento realizado.</w:t>
      </w:r>
    </w:p>
    <w:p w:rsidR="005F5270" w:rsidRPr="005F5270" w:rsidRDefault="005F5270" w:rsidP="005F5270">
      <w:pPr>
        <w:pStyle w:val="Prrafodelista"/>
        <w:rPr>
          <w:rFonts w:ascii="Tahoma" w:hAnsi="Tahoma" w:cs="Tahoma"/>
          <w:sz w:val="20"/>
        </w:rPr>
      </w:pPr>
    </w:p>
    <w:p w:rsidR="005F5270" w:rsidRPr="005F5270" w:rsidRDefault="005F5270" w:rsidP="005F5270">
      <w:pPr>
        <w:pStyle w:val="NormalWeb"/>
        <w:numPr>
          <w:ilvl w:val="0"/>
          <w:numId w:val="1"/>
        </w:numPr>
        <w:tabs>
          <w:tab w:val="num" w:pos="900"/>
        </w:tabs>
        <w:spacing w:before="0" w:beforeAutospacing="0" w:after="0" w:afterAutospacing="0"/>
        <w:jc w:val="both"/>
        <w:rPr>
          <w:rFonts w:ascii="Tahoma" w:hAnsi="Tahoma" w:cs="Tahoma"/>
          <w:sz w:val="20"/>
          <w:szCs w:val="20"/>
        </w:rPr>
      </w:pPr>
      <w:r w:rsidRPr="005F5270">
        <w:rPr>
          <w:rFonts w:ascii="Tahoma" w:hAnsi="Tahoma" w:cs="Tahoma"/>
          <w:sz w:val="20"/>
          <w:szCs w:val="20"/>
        </w:rPr>
        <w:t xml:space="preserve">Mediante Carta Nº 023-2010-NMM de fecha 11 de agosto de 2010, y remitido a esta Entidad el 20 del mismo mes y año, el </w:t>
      </w:r>
      <w:r w:rsidRPr="005F5270">
        <w:rPr>
          <w:rFonts w:ascii="Tahoma" w:hAnsi="Tahoma" w:cs="Tahoma"/>
          <w:sz w:val="20"/>
          <w:szCs w:val="20"/>
          <w:lang w:val="es-PE"/>
        </w:rPr>
        <w:t xml:space="preserve">Ing. </w:t>
      </w:r>
      <w:r w:rsidRPr="005F5270">
        <w:rPr>
          <w:rFonts w:ascii="Tahoma" w:hAnsi="Tahoma" w:cs="Tahoma"/>
          <w:sz w:val="20"/>
          <w:szCs w:val="20"/>
        </w:rPr>
        <w:t>Nilton Malpartida Moya, indicó que la cuestionada Declaración Jurada de Integrantes del Plantel Técnico no fue suscrito por él.</w:t>
      </w:r>
    </w:p>
    <w:p w:rsidR="005F5270" w:rsidRPr="005F5270" w:rsidRDefault="005F5270" w:rsidP="005F5270">
      <w:pPr>
        <w:pStyle w:val="Prrafodelista"/>
        <w:rPr>
          <w:rFonts w:ascii="Tahoma" w:hAnsi="Tahoma" w:cs="Tahoma"/>
          <w:sz w:val="20"/>
        </w:rPr>
      </w:pPr>
    </w:p>
    <w:p w:rsidR="005F5270" w:rsidRPr="005F5270" w:rsidRDefault="005F5270" w:rsidP="005F5270">
      <w:pPr>
        <w:pStyle w:val="NormalWeb"/>
        <w:numPr>
          <w:ilvl w:val="0"/>
          <w:numId w:val="1"/>
        </w:numPr>
        <w:tabs>
          <w:tab w:val="num" w:pos="900"/>
        </w:tabs>
        <w:spacing w:before="0" w:beforeAutospacing="0" w:after="0" w:afterAutospacing="0"/>
        <w:jc w:val="both"/>
        <w:rPr>
          <w:rFonts w:ascii="Tahoma" w:hAnsi="Tahoma" w:cs="Tahoma"/>
          <w:sz w:val="20"/>
          <w:szCs w:val="20"/>
        </w:rPr>
      </w:pPr>
      <w:r w:rsidRPr="005F5270">
        <w:rPr>
          <w:rFonts w:ascii="Tahoma" w:hAnsi="Tahoma" w:cs="Tahoma"/>
          <w:sz w:val="20"/>
          <w:szCs w:val="20"/>
        </w:rPr>
        <w:t xml:space="preserve">Con Oficio Nº 241-2011-OSCE-DSF/SFIS.AA de fecha 02 de febrero de 2011, </w:t>
      </w:r>
      <w:r w:rsidRPr="005F5270">
        <w:rPr>
          <w:rFonts w:ascii="Tahoma" w:hAnsi="Tahoma" w:cs="Tahoma"/>
          <w:sz w:val="20"/>
          <w:szCs w:val="20"/>
          <w:lang w:val="es-PE"/>
        </w:rPr>
        <w:t xml:space="preserve">la Dirección de Supervisión, Fiscalización y Estudios solicitó al Sr. Gustavo Eduardo Arroyo Torres, Perito Judicial Grafotécnico, que efectúe la pericia grafotecnica sobre la presunta firma del Sr. Nilton Malpartida Moya consignada en la Declaración Jurada integrantes del Plantel Técnico. Para tal prueba, se remitió copia de las Cartas Nº 015 – 2009 y 023-2010 de fechas 30 de julio de 2009 y 11 de agosto de 2010. </w:t>
      </w:r>
    </w:p>
    <w:p w:rsidR="005F5270" w:rsidRPr="005F5270" w:rsidRDefault="005F5270" w:rsidP="005F5270">
      <w:pPr>
        <w:pStyle w:val="Prrafodelista"/>
        <w:rPr>
          <w:rFonts w:ascii="Tahoma" w:hAnsi="Tahoma" w:cs="Tahoma"/>
          <w:sz w:val="20"/>
        </w:rPr>
      </w:pPr>
    </w:p>
    <w:p w:rsidR="005F5270" w:rsidRPr="005F5270" w:rsidRDefault="005F5270" w:rsidP="005F5270">
      <w:pPr>
        <w:pStyle w:val="NormalWeb"/>
        <w:numPr>
          <w:ilvl w:val="0"/>
          <w:numId w:val="1"/>
        </w:numPr>
        <w:tabs>
          <w:tab w:val="num" w:pos="900"/>
        </w:tabs>
        <w:spacing w:before="0" w:beforeAutospacing="0" w:after="0" w:afterAutospacing="0"/>
        <w:jc w:val="both"/>
        <w:rPr>
          <w:rFonts w:ascii="Tahoma" w:hAnsi="Tahoma" w:cs="Tahoma"/>
          <w:sz w:val="20"/>
          <w:szCs w:val="20"/>
        </w:rPr>
      </w:pPr>
      <w:r w:rsidRPr="005F5270">
        <w:rPr>
          <w:rFonts w:ascii="Tahoma" w:hAnsi="Tahoma" w:cs="Tahoma"/>
          <w:sz w:val="20"/>
          <w:szCs w:val="20"/>
        </w:rPr>
        <w:t xml:space="preserve">El 17 de febrero de 2011, el </w:t>
      </w:r>
      <w:r w:rsidRPr="005F5270">
        <w:rPr>
          <w:rFonts w:ascii="Tahoma" w:hAnsi="Tahoma" w:cs="Tahoma"/>
          <w:sz w:val="20"/>
          <w:szCs w:val="20"/>
          <w:lang w:val="es-PE"/>
        </w:rPr>
        <w:t>Sr. Gustavo Eduardo Arroyo Torres, emitió la Pericia Grafotecnica en la cual concluyó lo siguiente: “La firma atribuida a Nilton Giovanni Malpartida Moya, consignada en Declaración Jurada Integrantes del Plantel Técnico, documento con el membrete de CONSUCODE, sin fecha a la vista; consignado en la zona inferior derecha del sello post firma y firma a nombre de HERCO S.R.L. Representante Legal, no proviene del puño gráfico de su titular.”</w:t>
      </w:r>
    </w:p>
    <w:p w:rsidR="005F5270" w:rsidRPr="005F5270" w:rsidRDefault="005F5270" w:rsidP="005F5270">
      <w:pPr>
        <w:pStyle w:val="Prrafodelista"/>
        <w:rPr>
          <w:rFonts w:ascii="Tahoma" w:hAnsi="Tahoma" w:cs="Tahoma"/>
          <w:sz w:val="20"/>
        </w:rPr>
      </w:pPr>
    </w:p>
    <w:p w:rsidR="005F5270" w:rsidRPr="005F5270" w:rsidRDefault="005F5270" w:rsidP="005F5270">
      <w:pPr>
        <w:pStyle w:val="NormalWeb"/>
        <w:numPr>
          <w:ilvl w:val="0"/>
          <w:numId w:val="1"/>
        </w:numPr>
        <w:tabs>
          <w:tab w:val="num" w:pos="900"/>
        </w:tabs>
        <w:spacing w:before="0" w:beforeAutospacing="0" w:after="0" w:afterAutospacing="0"/>
        <w:jc w:val="both"/>
        <w:rPr>
          <w:rFonts w:ascii="Tahoma" w:hAnsi="Tahoma" w:cs="Tahoma"/>
          <w:sz w:val="20"/>
          <w:szCs w:val="20"/>
        </w:rPr>
      </w:pPr>
      <w:r w:rsidRPr="005F5270">
        <w:rPr>
          <w:rFonts w:ascii="Tahoma" w:hAnsi="Tahoma" w:cs="Tahoma"/>
          <w:sz w:val="20"/>
          <w:szCs w:val="20"/>
        </w:rPr>
        <w:t xml:space="preserve">Mediante Resolución Nº 051-2011-OSCE/DS de fecha 07 de marzo de 2011, la Dirección del SEACE resolvió iniciar las acciones legales para que en sede judicial se declare la nulidad de la Resolución Nº 1196-2008-CONSUCODE/SRNP de fecha 14 de febrero de 2008, que aprobó la solicitud de inscripción como consultor de obras de la empresa </w:t>
      </w:r>
      <w:r w:rsidRPr="005F5270">
        <w:rPr>
          <w:rFonts w:ascii="Tahoma" w:hAnsi="Tahoma" w:cs="Tahoma"/>
          <w:sz w:val="20"/>
          <w:szCs w:val="20"/>
          <w:lang w:val="es-PE"/>
        </w:rPr>
        <w:t>HERMANOS CONTRATISTAS SERVICIOS GENERALES S.R.L. (HERCO SERVICIOS GENERALES S.R.L.)</w:t>
      </w:r>
      <w:r w:rsidRPr="005F5270">
        <w:rPr>
          <w:rFonts w:ascii="Tahoma" w:hAnsi="Tahoma" w:cs="Tahoma"/>
          <w:sz w:val="20"/>
          <w:szCs w:val="20"/>
        </w:rPr>
        <w:t>. Comunicar la presente Resolución ante el Tribunal de Contrataciones del Estado.</w:t>
      </w:r>
    </w:p>
    <w:p w:rsidR="005F5270" w:rsidRPr="005F5270" w:rsidRDefault="005F5270" w:rsidP="005F5270">
      <w:pPr>
        <w:pStyle w:val="Prrafodelista"/>
        <w:rPr>
          <w:rFonts w:ascii="Tahoma" w:hAnsi="Tahoma" w:cs="Tahoma"/>
          <w:sz w:val="20"/>
        </w:rPr>
      </w:pPr>
    </w:p>
    <w:p w:rsidR="005F5270" w:rsidRPr="005F5270" w:rsidRDefault="005F5270" w:rsidP="005F5270">
      <w:pPr>
        <w:pStyle w:val="NormalWeb"/>
        <w:numPr>
          <w:ilvl w:val="0"/>
          <w:numId w:val="1"/>
        </w:numPr>
        <w:tabs>
          <w:tab w:val="num" w:pos="900"/>
        </w:tabs>
        <w:spacing w:before="0" w:beforeAutospacing="0" w:after="0" w:afterAutospacing="0"/>
        <w:jc w:val="both"/>
        <w:rPr>
          <w:rFonts w:ascii="Tahoma" w:hAnsi="Tahoma" w:cs="Tahoma"/>
          <w:sz w:val="20"/>
          <w:szCs w:val="20"/>
        </w:rPr>
      </w:pPr>
      <w:r w:rsidRPr="005F5270">
        <w:rPr>
          <w:rFonts w:ascii="Tahoma" w:hAnsi="Tahoma" w:cs="Tahoma"/>
          <w:sz w:val="20"/>
          <w:szCs w:val="20"/>
        </w:rPr>
        <w:t>Mediante Oficio Nº 057-2011-OSCE/DS de fecha 29 de marzo de 2011,  se notificó la Resolución detallada al Proveedor.</w:t>
      </w:r>
    </w:p>
    <w:p w:rsidR="005F5270" w:rsidRDefault="005F5270" w:rsidP="005F5270">
      <w:pPr>
        <w:pStyle w:val="NormalWeb"/>
        <w:tabs>
          <w:tab w:val="num" w:pos="900"/>
        </w:tabs>
        <w:spacing w:before="0" w:beforeAutospacing="0" w:after="0" w:afterAutospacing="0"/>
        <w:ind w:left="360"/>
        <w:jc w:val="both"/>
        <w:rPr>
          <w:rFonts w:ascii="Tahoma" w:hAnsi="Tahoma" w:cs="Tahoma"/>
          <w:sz w:val="20"/>
          <w:szCs w:val="20"/>
        </w:rPr>
      </w:pPr>
    </w:p>
    <w:p w:rsidR="005F5270" w:rsidRPr="005F5270" w:rsidRDefault="005F5270" w:rsidP="005F5270">
      <w:pPr>
        <w:pStyle w:val="NormalWeb"/>
        <w:numPr>
          <w:ilvl w:val="0"/>
          <w:numId w:val="1"/>
        </w:numPr>
        <w:tabs>
          <w:tab w:val="num" w:pos="900"/>
        </w:tabs>
        <w:spacing w:before="0" w:beforeAutospacing="0" w:after="0" w:afterAutospacing="0"/>
        <w:jc w:val="both"/>
        <w:rPr>
          <w:rFonts w:ascii="Tahoma" w:hAnsi="Tahoma" w:cs="Tahoma"/>
          <w:sz w:val="20"/>
          <w:szCs w:val="20"/>
        </w:rPr>
      </w:pPr>
      <w:r w:rsidRPr="005F5270">
        <w:rPr>
          <w:rFonts w:ascii="Tahoma" w:hAnsi="Tahoma" w:cs="Tahoma"/>
          <w:sz w:val="20"/>
          <w:szCs w:val="20"/>
        </w:rPr>
        <w:t>Con Memorando Nº 418-2011/DS-MSH de fecha 20 de abril de 2011, la Entidad puso en conocimiento de este Tribunal los hechos antes descritos; y en función a ello, mediante Decreto de fecha 27 de abril de 2011, se dispuso el inicio del procedimiento administrativo sancionador contra la empresa proveedora por supuesta responsabilidad en la presentación de documentos falsos o inexactos durante la realización del trámite de inscripción como consultor de obras ante el Registro Nacional de Proveedores, infracción tipificada en el numeral 10) del artículo 294º del Reglamento, emplazando al contratista para que presente sus descargos en el plazo de diez (10) días, bajo apercibimiento de resolver con la documentación obrante en autos.</w:t>
      </w:r>
    </w:p>
    <w:p w:rsidR="005F5270" w:rsidRPr="005F5270" w:rsidRDefault="005F5270" w:rsidP="005F5270">
      <w:pPr>
        <w:pStyle w:val="Prrafodelista"/>
        <w:rPr>
          <w:rFonts w:ascii="Tahoma" w:hAnsi="Tahoma" w:cs="Tahoma"/>
          <w:sz w:val="20"/>
          <w:highlight w:val="yellow"/>
        </w:rPr>
      </w:pPr>
    </w:p>
    <w:p w:rsidR="005F5270" w:rsidRPr="005F5270" w:rsidRDefault="005F5270" w:rsidP="005F5270">
      <w:pPr>
        <w:pStyle w:val="NormalWeb"/>
        <w:numPr>
          <w:ilvl w:val="0"/>
          <w:numId w:val="1"/>
        </w:numPr>
        <w:tabs>
          <w:tab w:val="num" w:pos="900"/>
        </w:tabs>
        <w:spacing w:before="0" w:beforeAutospacing="0" w:after="0" w:afterAutospacing="0"/>
        <w:jc w:val="both"/>
        <w:rPr>
          <w:rFonts w:ascii="Tahoma" w:hAnsi="Tahoma" w:cs="Tahoma"/>
          <w:sz w:val="20"/>
          <w:szCs w:val="20"/>
        </w:rPr>
      </w:pPr>
      <w:r w:rsidRPr="005F5270">
        <w:rPr>
          <w:rFonts w:ascii="Tahoma" w:hAnsi="Tahoma" w:cs="Tahoma"/>
          <w:sz w:val="20"/>
          <w:szCs w:val="20"/>
        </w:rPr>
        <w:t xml:space="preserve">Con decreto de fecha 08 de junio de 2011, </w:t>
      </w:r>
      <w:r w:rsidRPr="005F5270">
        <w:rPr>
          <w:rFonts w:ascii="Tahoma" w:hAnsi="Tahoma" w:cs="Tahoma"/>
          <w:color w:val="000000"/>
          <w:sz w:val="20"/>
          <w:szCs w:val="20"/>
        </w:rPr>
        <w:t xml:space="preserve">no habiendo cumplido </w:t>
      </w:r>
      <w:r w:rsidRPr="005F5270">
        <w:rPr>
          <w:rFonts w:ascii="Tahoma" w:hAnsi="Tahoma" w:cs="Tahoma"/>
          <w:color w:val="000000"/>
          <w:sz w:val="20"/>
          <w:szCs w:val="20"/>
          <w:lang w:val="es-ES_tradnl"/>
        </w:rPr>
        <w:t xml:space="preserve">el Proveedor </w:t>
      </w:r>
      <w:r w:rsidRPr="005F5270">
        <w:rPr>
          <w:rFonts w:ascii="Tahoma" w:hAnsi="Tahoma" w:cs="Tahoma"/>
          <w:color w:val="000000"/>
          <w:sz w:val="20"/>
          <w:szCs w:val="20"/>
        </w:rPr>
        <w:t>con presentar sus descargos, se dispuso: hacer efectivo el apercibimiento decretado de resolver con la documentación obrante en autos y, remítase el expediente a la </w:t>
      </w:r>
      <w:r w:rsidRPr="005F5270">
        <w:rPr>
          <w:rStyle w:val="Textoennegrita"/>
          <w:rFonts w:ascii="Tahoma" w:hAnsi="Tahoma" w:cs="Tahoma"/>
          <w:color w:val="000000"/>
          <w:sz w:val="20"/>
          <w:szCs w:val="20"/>
        </w:rPr>
        <w:t>Primera</w:t>
      </w:r>
      <w:r w:rsidRPr="005F5270">
        <w:rPr>
          <w:rFonts w:ascii="Tahoma" w:hAnsi="Tahoma" w:cs="Tahoma"/>
          <w:color w:val="000000"/>
          <w:sz w:val="20"/>
          <w:szCs w:val="20"/>
        </w:rPr>
        <w:t xml:space="preserve"> Sala del Tribunal para que resuelva.</w:t>
      </w:r>
    </w:p>
    <w:p w:rsidR="005F5270" w:rsidRDefault="005F5270" w:rsidP="005F5270">
      <w:pPr>
        <w:pStyle w:val="NormalWeb"/>
        <w:tabs>
          <w:tab w:val="num" w:pos="900"/>
        </w:tabs>
        <w:spacing w:before="0" w:beforeAutospacing="0" w:after="0" w:afterAutospacing="0"/>
        <w:jc w:val="both"/>
        <w:rPr>
          <w:rFonts w:ascii="Tahoma" w:hAnsi="Tahoma" w:cs="Tahoma"/>
          <w:sz w:val="20"/>
          <w:szCs w:val="20"/>
          <w:highlight w:val="yellow"/>
        </w:rPr>
      </w:pPr>
    </w:p>
    <w:p w:rsidR="004F3C81" w:rsidRDefault="004F3C81" w:rsidP="005F5270">
      <w:pPr>
        <w:pStyle w:val="NormalWeb"/>
        <w:tabs>
          <w:tab w:val="num" w:pos="900"/>
        </w:tabs>
        <w:spacing w:before="0" w:beforeAutospacing="0" w:after="0" w:afterAutospacing="0"/>
        <w:jc w:val="both"/>
        <w:rPr>
          <w:rFonts w:ascii="Tahoma" w:hAnsi="Tahoma" w:cs="Tahoma"/>
          <w:sz w:val="20"/>
          <w:szCs w:val="20"/>
          <w:highlight w:val="yellow"/>
        </w:rPr>
      </w:pPr>
    </w:p>
    <w:p w:rsidR="004F3C81" w:rsidRDefault="004F3C81" w:rsidP="005F5270">
      <w:pPr>
        <w:pStyle w:val="NormalWeb"/>
        <w:tabs>
          <w:tab w:val="num" w:pos="900"/>
        </w:tabs>
        <w:spacing w:before="0" w:beforeAutospacing="0" w:after="0" w:afterAutospacing="0"/>
        <w:jc w:val="both"/>
        <w:rPr>
          <w:rFonts w:ascii="Tahoma" w:hAnsi="Tahoma" w:cs="Tahoma"/>
          <w:sz w:val="20"/>
          <w:szCs w:val="20"/>
          <w:highlight w:val="yellow"/>
        </w:rPr>
      </w:pPr>
    </w:p>
    <w:p w:rsidR="004F3C81" w:rsidRDefault="004F3C81" w:rsidP="005F5270">
      <w:pPr>
        <w:pStyle w:val="NormalWeb"/>
        <w:tabs>
          <w:tab w:val="num" w:pos="900"/>
        </w:tabs>
        <w:spacing w:before="0" w:beforeAutospacing="0" w:after="0" w:afterAutospacing="0"/>
        <w:jc w:val="both"/>
        <w:rPr>
          <w:rFonts w:ascii="Tahoma" w:hAnsi="Tahoma" w:cs="Tahoma"/>
          <w:sz w:val="20"/>
          <w:szCs w:val="20"/>
          <w:highlight w:val="yellow"/>
        </w:rPr>
      </w:pPr>
    </w:p>
    <w:p w:rsidR="004F3C81" w:rsidRPr="005F5270" w:rsidRDefault="004F3C81" w:rsidP="005F5270">
      <w:pPr>
        <w:pStyle w:val="NormalWeb"/>
        <w:tabs>
          <w:tab w:val="num" w:pos="900"/>
        </w:tabs>
        <w:spacing w:before="0" w:beforeAutospacing="0" w:after="0" w:afterAutospacing="0"/>
        <w:jc w:val="both"/>
        <w:rPr>
          <w:rFonts w:ascii="Tahoma" w:hAnsi="Tahoma" w:cs="Tahoma"/>
          <w:sz w:val="20"/>
          <w:szCs w:val="20"/>
          <w:highlight w:val="yellow"/>
        </w:rPr>
      </w:pPr>
    </w:p>
    <w:p w:rsidR="005F5270" w:rsidRPr="005F5270" w:rsidRDefault="005F5270" w:rsidP="005F5270">
      <w:pPr>
        <w:tabs>
          <w:tab w:val="num" w:pos="9720"/>
        </w:tabs>
        <w:spacing w:after="0" w:line="240" w:lineRule="auto"/>
        <w:jc w:val="both"/>
        <w:rPr>
          <w:rFonts w:ascii="Tahoma" w:hAnsi="Tahoma" w:cs="Tahoma"/>
          <w:b/>
          <w:sz w:val="20"/>
          <w:szCs w:val="20"/>
        </w:rPr>
      </w:pPr>
      <w:r w:rsidRPr="005F5270">
        <w:rPr>
          <w:rFonts w:ascii="Tahoma" w:hAnsi="Tahoma" w:cs="Tahoma"/>
          <w:b/>
          <w:sz w:val="20"/>
          <w:szCs w:val="20"/>
        </w:rPr>
        <w:t>FUNDAMENTACIÓN:</w:t>
      </w:r>
    </w:p>
    <w:p w:rsidR="005F5270" w:rsidRPr="005F5270" w:rsidRDefault="005F5270" w:rsidP="005F5270">
      <w:pPr>
        <w:pStyle w:val="Textoindependiente"/>
        <w:rPr>
          <w:rFonts w:ascii="Tahoma" w:hAnsi="Tahoma" w:cs="Tahoma"/>
          <w:b/>
          <w:bCs/>
          <w:sz w:val="20"/>
          <w:szCs w:val="20"/>
          <w:lang w:val="es-MX"/>
        </w:rPr>
      </w:pPr>
    </w:p>
    <w:p w:rsidR="005F5270" w:rsidRPr="005F5270" w:rsidRDefault="005F5270" w:rsidP="005F5270">
      <w:pPr>
        <w:rPr>
          <w:rFonts w:ascii="Tahoma" w:hAnsi="Tahoma" w:cs="Tahoma"/>
          <w:b/>
          <w:bCs/>
          <w:sz w:val="20"/>
          <w:szCs w:val="20"/>
        </w:rPr>
      </w:pPr>
      <w:r w:rsidRPr="005F5270">
        <w:rPr>
          <w:rFonts w:ascii="Tahoma" w:hAnsi="Tahoma" w:cs="Tahoma"/>
          <w:b/>
          <w:bCs/>
          <w:sz w:val="20"/>
          <w:szCs w:val="20"/>
          <w:u w:val="single"/>
        </w:rPr>
        <w:t>De la Competencia del Tribunal de Contrataciones del Estado</w:t>
      </w:r>
    </w:p>
    <w:p w:rsidR="005F5270" w:rsidRPr="005F5270" w:rsidRDefault="005F5270" w:rsidP="005F5270">
      <w:pPr>
        <w:numPr>
          <w:ilvl w:val="0"/>
          <w:numId w:val="5"/>
        </w:numPr>
        <w:spacing w:after="0" w:line="240" w:lineRule="auto"/>
        <w:jc w:val="both"/>
        <w:rPr>
          <w:rFonts w:ascii="Tahoma" w:hAnsi="Tahoma" w:cs="Tahoma"/>
          <w:sz w:val="20"/>
          <w:szCs w:val="20"/>
        </w:rPr>
      </w:pPr>
      <w:r w:rsidRPr="005F5270">
        <w:rPr>
          <w:rFonts w:ascii="Tahoma" w:hAnsi="Tahoma" w:cs="Tahoma"/>
          <w:sz w:val="20"/>
          <w:szCs w:val="20"/>
        </w:rPr>
        <w:t>El numeral 1 del artículo 235 de la Ley 27444, Ley de Procedimiento Administrativo General, establece que el Procedimiento Administrativo Sancionador se inicia siempre de oficio, bien por propia iniciativa o como consecuencia de orden superior, petición motivada de otros órganos o entidades por denuncia.</w:t>
      </w:r>
    </w:p>
    <w:p w:rsidR="004F3C81" w:rsidRDefault="004F3C81" w:rsidP="004F3C81">
      <w:pPr>
        <w:spacing w:after="0" w:line="240" w:lineRule="auto"/>
        <w:ind w:left="786"/>
        <w:jc w:val="both"/>
        <w:rPr>
          <w:rFonts w:ascii="Tahoma" w:hAnsi="Tahoma" w:cs="Tahoma"/>
          <w:sz w:val="20"/>
          <w:szCs w:val="20"/>
        </w:rPr>
      </w:pPr>
    </w:p>
    <w:p w:rsidR="005F5270" w:rsidRPr="005F5270" w:rsidRDefault="005F5270" w:rsidP="005F5270">
      <w:pPr>
        <w:numPr>
          <w:ilvl w:val="0"/>
          <w:numId w:val="5"/>
        </w:numPr>
        <w:spacing w:after="0" w:line="240" w:lineRule="auto"/>
        <w:jc w:val="both"/>
        <w:rPr>
          <w:rFonts w:ascii="Tahoma" w:hAnsi="Tahoma" w:cs="Tahoma"/>
          <w:sz w:val="20"/>
          <w:szCs w:val="20"/>
        </w:rPr>
      </w:pPr>
      <w:r w:rsidRPr="005F5270">
        <w:rPr>
          <w:rFonts w:ascii="Tahoma" w:hAnsi="Tahoma" w:cs="Tahoma"/>
          <w:sz w:val="20"/>
          <w:szCs w:val="20"/>
        </w:rPr>
        <w:t>En ese sentido, el Tribunal de Contrataciones del Estado es el órgano que tiene a su cargo el conocimiento y resolución de procedimientos de imposición de sanción de inhabilitación temporal o definitiva y económicas,  a que se contraen el artículo  y 52º de la Ley (Texto Único Ordenado de la Ley de Contrataciones y Adquisiciones del Estado), a los proveedores, participantes, postores, contratistas y entidades, según corresponda, por infracciones a las disposiciones contenidas en la Ley y el presente Reglamento.</w:t>
      </w:r>
    </w:p>
    <w:p w:rsidR="005F5270" w:rsidRDefault="005F5270" w:rsidP="005F5270">
      <w:pPr>
        <w:ind w:left="708"/>
        <w:jc w:val="both"/>
        <w:rPr>
          <w:rFonts w:ascii="Tahoma" w:hAnsi="Tahoma" w:cs="Tahoma"/>
          <w:b/>
          <w:bCs/>
          <w:sz w:val="20"/>
          <w:szCs w:val="20"/>
          <w:u w:val="single"/>
          <w:lang w:val="es-MX"/>
        </w:rPr>
      </w:pPr>
    </w:p>
    <w:p w:rsidR="005F5270" w:rsidRPr="005F5270" w:rsidRDefault="005F5270" w:rsidP="005F5270">
      <w:pPr>
        <w:ind w:left="708"/>
        <w:jc w:val="both"/>
        <w:rPr>
          <w:rFonts w:ascii="Tahoma" w:hAnsi="Tahoma" w:cs="Tahoma"/>
          <w:b/>
          <w:bCs/>
          <w:sz w:val="20"/>
          <w:szCs w:val="20"/>
          <w:u w:val="single"/>
          <w:lang w:val="es-MX"/>
        </w:rPr>
      </w:pPr>
      <w:r w:rsidRPr="005F5270">
        <w:rPr>
          <w:rFonts w:ascii="Tahoma" w:hAnsi="Tahoma" w:cs="Tahoma"/>
          <w:b/>
          <w:bCs/>
          <w:sz w:val="20"/>
          <w:szCs w:val="20"/>
          <w:u w:val="single"/>
          <w:lang w:val="es-MX"/>
        </w:rPr>
        <w:t>Del Procedimiento Sancionador</w:t>
      </w:r>
    </w:p>
    <w:p w:rsidR="005F5270" w:rsidRPr="005F5270" w:rsidRDefault="005F5270" w:rsidP="005F5270">
      <w:pPr>
        <w:numPr>
          <w:ilvl w:val="0"/>
          <w:numId w:val="5"/>
        </w:numPr>
        <w:tabs>
          <w:tab w:val="num" w:pos="454"/>
        </w:tabs>
        <w:spacing w:after="0" w:line="240" w:lineRule="auto"/>
        <w:jc w:val="both"/>
        <w:rPr>
          <w:rFonts w:ascii="Tahoma" w:hAnsi="Tahoma" w:cs="Tahoma"/>
          <w:b/>
          <w:bCs/>
          <w:sz w:val="20"/>
          <w:szCs w:val="20"/>
          <w:u w:val="single"/>
          <w:lang w:val="es-MX"/>
        </w:rPr>
      </w:pPr>
      <w:r w:rsidRPr="005F5270">
        <w:rPr>
          <w:rFonts w:ascii="Tahoma" w:hAnsi="Tahoma" w:cs="Tahoma"/>
          <w:sz w:val="20"/>
          <w:szCs w:val="20"/>
          <w:lang w:val="es-MX"/>
        </w:rPr>
        <w:t xml:space="preserve">El presente caso está referido a la supuesta responsabilidad de la empresa </w:t>
      </w:r>
      <w:r w:rsidRPr="005F5270">
        <w:rPr>
          <w:rFonts w:ascii="Tahoma" w:hAnsi="Tahoma" w:cs="Tahoma"/>
          <w:sz w:val="20"/>
          <w:szCs w:val="20"/>
          <w:lang w:val="es-PE"/>
        </w:rPr>
        <w:t>HERMANOS CONTRATISTAS SERVICIOS GENERALES S.R.L. (HERCO SERVICIOS GENERALES S.R.L.)</w:t>
      </w:r>
      <w:r w:rsidRPr="005F5270">
        <w:rPr>
          <w:rFonts w:ascii="Tahoma" w:hAnsi="Tahoma" w:cs="Tahoma"/>
          <w:sz w:val="20"/>
          <w:szCs w:val="20"/>
        </w:rPr>
        <w:t>,</w:t>
      </w:r>
      <w:r w:rsidRPr="005F5270">
        <w:rPr>
          <w:rFonts w:ascii="Tahoma" w:hAnsi="Tahoma" w:cs="Tahoma"/>
          <w:sz w:val="20"/>
          <w:szCs w:val="20"/>
          <w:lang w:val="es-MX"/>
        </w:rPr>
        <w:t xml:space="preserve"> por la presentación de documentos falsos </w:t>
      </w:r>
      <w:r w:rsidRPr="005F5270">
        <w:rPr>
          <w:rFonts w:ascii="Tahoma" w:hAnsi="Tahoma" w:cs="Tahoma"/>
          <w:sz w:val="20"/>
          <w:szCs w:val="20"/>
        </w:rPr>
        <w:t xml:space="preserve">o inexactos </w:t>
      </w:r>
      <w:r w:rsidRPr="005F5270">
        <w:rPr>
          <w:rFonts w:ascii="Tahoma" w:hAnsi="Tahoma" w:cs="Tahoma"/>
          <w:sz w:val="20"/>
          <w:szCs w:val="20"/>
          <w:lang w:val="es-MX"/>
        </w:rPr>
        <w:t xml:space="preserve">durante </w:t>
      </w:r>
      <w:r w:rsidRPr="005F5270">
        <w:rPr>
          <w:rFonts w:ascii="Tahoma" w:hAnsi="Tahoma" w:cs="Tahoma"/>
          <w:sz w:val="20"/>
          <w:szCs w:val="20"/>
        </w:rPr>
        <w:t>la realización del trámite de inscripción de Inscripción como Consultor de Obras ante el Registro Nacional de Proveedores</w:t>
      </w:r>
      <w:r w:rsidRPr="005F5270">
        <w:rPr>
          <w:rFonts w:ascii="Tahoma" w:hAnsi="Tahoma" w:cs="Tahoma"/>
          <w:sz w:val="20"/>
          <w:szCs w:val="20"/>
          <w:lang w:val="es-MX"/>
        </w:rPr>
        <w:t xml:space="preserve">, </w:t>
      </w:r>
      <w:r w:rsidRPr="005F5270">
        <w:rPr>
          <w:rFonts w:ascii="Tahoma" w:hAnsi="Tahoma" w:cs="Tahoma"/>
          <w:sz w:val="20"/>
          <w:szCs w:val="20"/>
        </w:rPr>
        <w:t>infracción tipificada en el numeral 10) del artículo 294</w:t>
      </w:r>
      <w:r w:rsidRPr="005F5270">
        <w:rPr>
          <w:rStyle w:val="Refdenotaalpie"/>
          <w:rFonts w:ascii="Tahoma" w:hAnsi="Tahoma" w:cs="Tahoma"/>
          <w:sz w:val="20"/>
          <w:szCs w:val="20"/>
        </w:rPr>
        <w:footnoteReference w:id="2"/>
      </w:r>
      <w:r w:rsidRPr="005F5270">
        <w:rPr>
          <w:rFonts w:ascii="Tahoma" w:hAnsi="Tahoma" w:cs="Tahoma"/>
          <w:sz w:val="20"/>
          <w:szCs w:val="20"/>
        </w:rPr>
        <w:t xml:space="preserve"> del Reglamento de la Ley de Contrataciones y Adquisiciones del Estado, aprobado por Decreto Supremo N.° 084-2004-PCM, en adelante el Reglamento.</w:t>
      </w:r>
    </w:p>
    <w:p w:rsidR="005F5270" w:rsidRPr="005F5270" w:rsidRDefault="005F5270" w:rsidP="005F5270">
      <w:pPr>
        <w:spacing w:after="0" w:line="240" w:lineRule="auto"/>
        <w:ind w:left="786"/>
        <w:jc w:val="both"/>
        <w:rPr>
          <w:rFonts w:ascii="Tahoma" w:hAnsi="Tahoma" w:cs="Tahoma"/>
          <w:sz w:val="20"/>
          <w:szCs w:val="20"/>
          <w:lang w:val="es-MX"/>
        </w:rPr>
      </w:pPr>
    </w:p>
    <w:p w:rsidR="005F5270" w:rsidRPr="005F5270" w:rsidRDefault="005F5270" w:rsidP="005F5270">
      <w:pPr>
        <w:numPr>
          <w:ilvl w:val="0"/>
          <w:numId w:val="5"/>
        </w:numPr>
        <w:tabs>
          <w:tab w:val="num" w:pos="454"/>
        </w:tabs>
        <w:spacing w:after="0" w:line="240" w:lineRule="auto"/>
        <w:jc w:val="both"/>
        <w:rPr>
          <w:rFonts w:ascii="Tahoma" w:hAnsi="Tahoma" w:cs="Tahoma"/>
          <w:sz w:val="20"/>
          <w:szCs w:val="20"/>
          <w:lang w:val="es-MX"/>
        </w:rPr>
      </w:pPr>
      <w:r w:rsidRPr="005F5270">
        <w:rPr>
          <w:rFonts w:ascii="Tahoma" w:hAnsi="Tahoma" w:cs="Tahoma"/>
          <w:sz w:val="20"/>
          <w:szCs w:val="20"/>
        </w:rPr>
        <w:t xml:space="preserve">Asimismo, de acuerdo con el </w:t>
      </w:r>
      <w:r w:rsidRPr="005F5270">
        <w:rPr>
          <w:rFonts w:ascii="Tahoma" w:hAnsi="Tahoma" w:cs="Tahoma"/>
          <w:i/>
          <w:iCs/>
          <w:sz w:val="20"/>
          <w:szCs w:val="20"/>
        </w:rPr>
        <w:t>principio de irrectroactividad</w:t>
      </w:r>
      <w:r w:rsidRPr="005F5270">
        <w:rPr>
          <w:rFonts w:ascii="Tahoma" w:hAnsi="Tahoma" w:cs="Tahoma"/>
          <w:sz w:val="20"/>
          <w:szCs w:val="20"/>
        </w:rPr>
        <w:t xml:space="preserve"> consagrada en el inciso 5) del artículo 230 de la Ley 27444, Ley de Procedimiento Administrativo General, son aplicables las disposiciones sancionatorias vigentes al momento en que el administrado hubiera incurrido en la conducta a sancionar</w:t>
      </w:r>
      <w:r w:rsidRPr="005F5270">
        <w:rPr>
          <w:rStyle w:val="Refdenotaalpie"/>
          <w:rFonts w:ascii="Tahoma" w:hAnsi="Tahoma" w:cs="Tahoma"/>
          <w:sz w:val="20"/>
          <w:szCs w:val="20"/>
        </w:rPr>
        <w:footnoteReference w:id="3"/>
      </w:r>
      <w:r w:rsidRPr="005F5270">
        <w:rPr>
          <w:rFonts w:ascii="Tahoma" w:hAnsi="Tahoma" w:cs="Tahoma"/>
          <w:sz w:val="20"/>
          <w:szCs w:val="20"/>
        </w:rPr>
        <w:t>, de modo tal que en el presente caso, para la tipificación de la infracción que presuntamente habría cometido el Postor, resultan de aplicación las disposiciones normativas contenidas en los derogados Decretos Supremos Nº 083-2004-PCM y Nº 084-2004-PCM citados en el numeral anterior.</w:t>
      </w:r>
    </w:p>
    <w:p w:rsidR="005F5270" w:rsidRPr="005F5270" w:rsidRDefault="005F5270" w:rsidP="005F5270">
      <w:pPr>
        <w:spacing w:after="0" w:line="240" w:lineRule="auto"/>
        <w:ind w:left="786"/>
        <w:jc w:val="both"/>
        <w:rPr>
          <w:rFonts w:ascii="Tahoma" w:hAnsi="Tahoma" w:cs="Tahoma"/>
          <w:sz w:val="20"/>
          <w:szCs w:val="20"/>
          <w:lang w:val="es-MX"/>
        </w:rPr>
      </w:pPr>
    </w:p>
    <w:p w:rsidR="005F5270" w:rsidRPr="005F5270" w:rsidRDefault="005F5270" w:rsidP="005F5270">
      <w:pPr>
        <w:numPr>
          <w:ilvl w:val="0"/>
          <w:numId w:val="5"/>
        </w:numPr>
        <w:tabs>
          <w:tab w:val="num" w:pos="454"/>
        </w:tabs>
        <w:spacing w:after="0" w:line="240" w:lineRule="auto"/>
        <w:jc w:val="both"/>
        <w:rPr>
          <w:rFonts w:ascii="Tahoma" w:hAnsi="Tahoma" w:cs="Tahoma"/>
          <w:sz w:val="20"/>
          <w:szCs w:val="20"/>
          <w:lang w:val="es-MX"/>
        </w:rPr>
      </w:pPr>
      <w:r w:rsidRPr="005F5270">
        <w:rPr>
          <w:rFonts w:ascii="Tahoma" w:hAnsi="Tahoma" w:cs="Tahoma"/>
          <w:sz w:val="20"/>
          <w:szCs w:val="20"/>
        </w:rPr>
        <w:lastRenderedPageBreak/>
        <w:t>Al respecto, la infracción imputada al Proveedor corresponde a la señalada en el numeral 10) del artículo 294 del Reglamento.</w:t>
      </w:r>
    </w:p>
    <w:p w:rsidR="005F5270" w:rsidRDefault="005F5270" w:rsidP="005F5270">
      <w:pPr>
        <w:spacing w:after="0" w:line="240" w:lineRule="auto"/>
        <w:ind w:left="786"/>
        <w:jc w:val="both"/>
        <w:rPr>
          <w:rFonts w:ascii="Tahoma" w:hAnsi="Tahoma" w:cs="Tahoma"/>
          <w:sz w:val="20"/>
          <w:szCs w:val="20"/>
          <w:lang w:val="es-MX"/>
        </w:rPr>
      </w:pPr>
    </w:p>
    <w:p w:rsidR="005F5270" w:rsidRPr="005F5270" w:rsidRDefault="005F5270" w:rsidP="005F5270">
      <w:pPr>
        <w:numPr>
          <w:ilvl w:val="0"/>
          <w:numId w:val="5"/>
        </w:numPr>
        <w:tabs>
          <w:tab w:val="num" w:pos="454"/>
        </w:tabs>
        <w:spacing w:after="0" w:line="240" w:lineRule="auto"/>
        <w:jc w:val="both"/>
        <w:rPr>
          <w:rFonts w:ascii="Tahoma" w:hAnsi="Tahoma" w:cs="Tahoma"/>
          <w:sz w:val="20"/>
          <w:szCs w:val="20"/>
          <w:lang w:val="es-MX"/>
        </w:rPr>
      </w:pPr>
      <w:r w:rsidRPr="005F5270">
        <w:rPr>
          <w:rFonts w:ascii="Tahoma" w:hAnsi="Tahoma" w:cs="Tahoma"/>
          <w:sz w:val="20"/>
          <w:szCs w:val="20"/>
          <w:lang w:val="es-MX"/>
        </w:rPr>
        <w:t xml:space="preserve">Para </w:t>
      </w:r>
      <w:r w:rsidRPr="005F5270">
        <w:rPr>
          <w:rFonts w:ascii="Tahoma" w:hAnsi="Tahoma" w:cs="Tahoma"/>
          <w:sz w:val="20"/>
          <w:szCs w:val="20"/>
        </w:rPr>
        <w:t xml:space="preserve">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y que haya sido presentado durante cualquier procedimiento seguido ante el Registro Nacional de Proveedores, ocasionando el  quebrantamiento de los </w:t>
      </w:r>
      <w:r w:rsidRPr="005F5270">
        <w:rPr>
          <w:rFonts w:ascii="Tahoma" w:hAnsi="Tahoma" w:cs="Tahoma"/>
          <w:i/>
          <w:iCs/>
          <w:sz w:val="20"/>
          <w:szCs w:val="20"/>
        </w:rPr>
        <w:t>Principios de Moralidad</w:t>
      </w:r>
      <w:r w:rsidRPr="005F5270">
        <w:rPr>
          <w:rFonts w:ascii="Tahoma" w:hAnsi="Tahoma" w:cs="Tahoma"/>
          <w:sz w:val="20"/>
          <w:szCs w:val="20"/>
        </w:rPr>
        <w:t xml:space="preserve"> y de </w:t>
      </w:r>
      <w:r w:rsidRPr="005F5270">
        <w:rPr>
          <w:rFonts w:ascii="Tahoma" w:hAnsi="Tahoma" w:cs="Tahoma"/>
          <w:i/>
          <w:iCs/>
          <w:sz w:val="20"/>
          <w:szCs w:val="20"/>
        </w:rPr>
        <w:t>Presunción de Veracidad</w:t>
      </w:r>
      <w:r w:rsidRPr="005F5270">
        <w:rPr>
          <w:rFonts w:ascii="Tahoma" w:hAnsi="Tahoma" w:cs="Tahoma"/>
          <w:sz w:val="20"/>
          <w:szCs w:val="20"/>
        </w:rPr>
        <w:t>, de conformidad con lo establecido en el inciso 1) del artículo 3 del Texto Único Ordenado de la Ley de Contrataciones y Adquisiciones del Estado, aprobado por Decreto Supremo N.° 083-2004-PCM, en lo sucesivo la Ley, en concordancia con lo dispuesto en el numeral 1.7 del Artículo IV del Título Preliminar y el numeral 42.1 del artículo 42 de la Ley del Procedimiento Administrativo General, Ley N° 27444.</w:t>
      </w:r>
    </w:p>
    <w:p w:rsidR="005F5270" w:rsidRPr="005F5270" w:rsidRDefault="005F5270" w:rsidP="005F5270">
      <w:pPr>
        <w:pStyle w:val="Prrafodelista1"/>
        <w:rPr>
          <w:rFonts w:ascii="Tahoma" w:hAnsi="Tahoma" w:cs="Tahoma"/>
          <w:sz w:val="20"/>
          <w:szCs w:val="20"/>
        </w:rPr>
      </w:pPr>
    </w:p>
    <w:p w:rsidR="005F5270" w:rsidRPr="005F5270" w:rsidRDefault="005F5270" w:rsidP="005F5270">
      <w:pPr>
        <w:pStyle w:val="Prrafodelista1"/>
        <w:ind w:left="900"/>
        <w:rPr>
          <w:rFonts w:ascii="Tahoma" w:hAnsi="Tahoma" w:cs="Tahoma"/>
          <w:b/>
          <w:bCs/>
          <w:sz w:val="20"/>
          <w:szCs w:val="20"/>
          <w:u w:val="single"/>
        </w:rPr>
      </w:pPr>
      <w:r w:rsidRPr="005F5270">
        <w:rPr>
          <w:rFonts w:ascii="Tahoma" w:hAnsi="Tahoma" w:cs="Tahoma"/>
          <w:b/>
          <w:bCs/>
          <w:sz w:val="20"/>
          <w:szCs w:val="20"/>
          <w:u w:val="single"/>
        </w:rPr>
        <w:t xml:space="preserve">Análisis de los Hechos </w:t>
      </w:r>
    </w:p>
    <w:p w:rsidR="005F5270" w:rsidRPr="005F5270" w:rsidRDefault="005F5270" w:rsidP="005F5270">
      <w:pPr>
        <w:pStyle w:val="Prrafodelista1"/>
        <w:ind w:left="900"/>
        <w:rPr>
          <w:rFonts w:ascii="Tahoma" w:hAnsi="Tahoma" w:cs="Tahoma"/>
          <w:sz w:val="20"/>
          <w:szCs w:val="20"/>
        </w:rPr>
      </w:pPr>
    </w:p>
    <w:p w:rsidR="005F5270" w:rsidRPr="005F5270" w:rsidRDefault="005F5270" w:rsidP="005F5270">
      <w:pPr>
        <w:numPr>
          <w:ilvl w:val="0"/>
          <w:numId w:val="5"/>
        </w:numPr>
        <w:spacing w:after="0" w:line="240" w:lineRule="auto"/>
        <w:jc w:val="both"/>
        <w:rPr>
          <w:rFonts w:ascii="Tahoma" w:hAnsi="Tahoma" w:cs="Tahoma"/>
          <w:sz w:val="20"/>
          <w:szCs w:val="20"/>
        </w:rPr>
      </w:pPr>
      <w:r w:rsidRPr="005F5270">
        <w:rPr>
          <w:rFonts w:ascii="Tahoma" w:hAnsi="Tahoma" w:cs="Tahoma"/>
          <w:sz w:val="20"/>
          <w:szCs w:val="20"/>
        </w:rPr>
        <w:t xml:space="preserve">En el caso que nos ocupa, la imputación contra el Proveedor se refiere a la supuesta falsedad de la </w:t>
      </w:r>
      <w:r w:rsidRPr="005F5270">
        <w:rPr>
          <w:rFonts w:ascii="Tahoma" w:hAnsi="Tahoma" w:cs="Tahoma"/>
          <w:sz w:val="20"/>
          <w:szCs w:val="20"/>
          <w:lang w:val="es-PE"/>
        </w:rPr>
        <w:t>Declaración Jurada Integrantes del plantel Técnico mediante la cual, la empresa HERCO S.R.L. presentó al Ing. Nilton Giovanni Malpartida Moya como parte de su plantel técnico.</w:t>
      </w:r>
    </w:p>
    <w:p w:rsidR="005F5270" w:rsidRDefault="005F5270" w:rsidP="005F5270">
      <w:pPr>
        <w:spacing w:after="0" w:line="240" w:lineRule="auto"/>
        <w:ind w:left="786"/>
        <w:jc w:val="both"/>
        <w:rPr>
          <w:rFonts w:ascii="Tahoma" w:hAnsi="Tahoma" w:cs="Tahoma"/>
          <w:sz w:val="20"/>
          <w:szCs w:val="20"/>
        </w:rPr>
      </w:pPr>
    </w:p>
    <w:p w:rsidR="005F5270" w:rsidRPr="005F5270" w:rsidRDefault="005F5270" w:rsidP="005F5270">
      <w:pPr>
        <w:numPr>
          <w:ilvl w:val="0"/>
          <w:numId w:val="5"/>
        </w:numPr>
        <w:spacing w:after="0" w:line="240" w:lineRule="auto"/>
        <w:jc w:val="both"/>
        <w:rPr>
          <w:rFonts w:ascii="Tahoma" w:hAnsi="Tahoma" w:cs="Tahoma"/>
          <w:sz w:val="20"/>
          <w:szCs w:val="20"/>
        </w:rPr>
      </w:pPr>
      <w:r w:rsidRPr="005F5270">
        <w:rPr>
          <w:rFonts w:ascii="Tahoma" w:hAnsi="Tahoma" w:cs="Tahoma"/>
          <w:sz w:val="20"/>
          <w:szCs w:val="20"/>
        </w:rPr>
        <w:t xml:space="preserve">En aplicación del </w:t>
      </w:r>
      <w:r w:rsidRPr="005F5270">
        <w:rPr>
          <w:rFonts w:ascii="Tahoma" w:hAnsi="Tahoma" w:cs="Tahoma"/>
          <w:i/>
          <w:iCs/>
          <w:sz w:val="20"/>
          <w:szCs w:val="20"/>
        </w:rPr>
        <w:t xml:space="preserve">Principio de Privilegio de Controles Posteriores, </w:t>
      </w:r>
      <w:r w:rsidRPr="005F5270">
        <w:rPr>
          <w:rFonts w:ascii="Tahoma" w:hAnsi="Tahoma" w:cs="Tahoma"/>
          <w:sz w:val="20"/>
          <w:szCs w:val="20"/>
        </w:rPr>
        <w:t>contemplado en el numeral 1.16 del Artículo IV del Título Preliminar de la Ley N° 27444</w:t>
      </w:r>
      <w:r w:rsidRPr="005F5270">
        <w:rPr>
          <w:rStyle w:val="Refdenotaalpie"/>
          <w:rFonts w:ascii="Tahoma" w:hAnsi="Tahoma" w:cs="Tahoma"/>
          <w:sz w:val="20"/>
          <w:szCs w:val="20"/>
        </w:rPr>
        <w:footnoteReference w:id="4"/>
      </w:r>
      <w:r w:rsidRPr="005F5270">
        <w:rPr>
          <w:rFonts w:ascii="Tahoma" w:hAnsi="Tahoma" w:cs="Tahoma"/>
          <w:sz w:val="20"/>
          <w:szCs w:val="20"/>
        </w:rPr>
        <w:t>,  la Entidad solicitó al Ing. Nilton Giovanni Malpartida Moya, mediante Oficios Nros 27140-2009-OSCE-DSFE/SF.GF, Nº 2869-2010-OSCE-DSF/SFIS.A.A y  3256-2010-OSCE-DSF/SFIS.AA de fechas 02.07.2009, 17.06.2010 y 22.07.2010, notificados con fechas 25.07.2009, 23.06.2010 y 06.08.2010, respectivamente,   que brinde su conformidad a la firma obrante en el documento cuestionado, debiendo señalar expresamente si suscribió o no dicho documento.</w:t>
      </w:r>
    </w:p>
    <w:p w:rsidR="005F5270" w:rsidRPr="005F5270" w:rsidRDefault="005F5270" w:rsidP="005F5270">
      <w:pPr>
        <w:pStyle w:val="Prrafodelista"/>
        <w:rPr>
          <w:rFonts w:ascii="Tahoma" w:hAnsi="Tahoma" w:cs="Tahoma"/>
          <w:sz w:val="20"/>
        </w:rPr>
      </w:pPr>
    </w:p>
    <w:p w:rsidR="005F5270" w:rsidRPr="005F5270" w:rsidRDefault="005F5270" w:rsidP="005F5270">
      <w:pPr>
        <w:numPr>
          <w:ilvl w:val="0"/>
          <w:numId w:val="5"/>
        </w:numPr>
        <w:tabs>
          <w:tab w:val="num" w:pos="900"/>
        </w:tabs>
        <w:spacing w:after="0" w:line="240" w:lineRule="auto"/>
        <w:jc w:val="both"/>
        <w:rPr>
          <w:rFonts w:ascii="Tahoma" w:hAnsi="Tahoma" w:cs="Tahoma"/>
          <w:sz w:val="20"/>
          <w:szCs w:val="20"/>
        </w:rPr>
      </w:pPr>
      <w:r w:rsidRPr="005F5270">
        <w:rPr>
          <w:rFonts w:ascii="Tahoma" w:hAnsi="Tahoma" w:cs="Tahoma"/>
          <w:sz w:val="20"/>
          <w:szCs w:val="20"/>
        </w:rPr>
        <w:t>En atención a dicho requerimiento, con Carta Nº 023-2010-NMM</w:t>
      </w:r>
      <w:r w:rsidRPr="005F5270">
        <w:rPr>
          <w:rStyle w:val="Refdenotaalpie"/>
          <w:rFonts w:ascii="Tahoma" w:hAnsi="Tahoma" w:cs="Tahoma"/>
          <w:sz w:val="20"/>
          <w:szCs w:val="20"/>
        </w:rPr>
        <w:footnoteReference w:id="5"/>
      </w:r>
      <w:r w:rsidRPr="005F5270">
        <w:rPr>
          <w:rFonts w:ascii="Tahoma" w:hAnsi="Tahoma" w:cs="Tahoma"/>
          <w:sz w:val="20"/>
          <w:szCs w:val="20"/>
        </w:rPr>
        <w:t xml:space="preserve"> de fecha 11 de agosto de 2010,  recibido el 20 del mismo mes y año, el Ing. civil Nilton Malpartida Moya indicó lo siguiente: </w:t>
      </w:r>
      <w:r w:rsidRPr="005F5270">
        <w:rPr>
          <w:rFonts w:ascii="Tahoma" w:hAnsi="Tahoma" w:cs="Tahoma"/>
          <w:i/>
          <w:iCs/>
          <w:sz w:val="20"/>
          <w:szCs w:val="20"/>
        </w:rPr>
        <w:t>“ En base al documento indicado como folio Nº 47 cuya copia forma parte del documento de la referencia que me fue remitida, debo manifestar expresamente que la firma ahí consignada no fue suscrita por mi persona: Es preciso aclarar que si bien formé parte del plantel técnico de la referida empresa, debo reiterar  que esa declaración jurada de integrantes del plantel técnico no fue suscrito por mi persona”</w:t>
      </w:r>
    </w:p>
    <w:p w:rsidR="005F5270" w:rsidRPr="005F5270" w:rsidRDefault="005F5270" w:rsidP="005F5270">
      <w:pPr>
        <w:pStyle w:val="Prrafodelista"/>
        <w:rPr>
          <w:rFonts w:ascii="Tahoma" w:hAnsi="Tahoma" w:cs="Tahoma"/>
          <w:sz w:val="20"/>
          <w:highlight w:val="yellow"/>
        </w:rPr>
      </w:pPr>
    </w:p>
    <w:p w:rsidR="005F5270" w:rsidRPr="005F5270" w:rsidRDefault="005F5270" w:rsidP="005F5270">
      <w:pPr>
        <w:numPr>
          <w:ilvl w:val="0"/>
          <w:numId w:val="5"/>
        </w:numPr>
        <w:spacing w:after="0" w:line="240" w:lineRule="auto"/>
        <w:jc w:val="both"/>
        <w:rPr>
          <w:rFonts w:ascii="Tahoma" w:hAnsi="Tahoma" w:cs="Tahoma"/>
          <w:sz w:val="20"/>
          <w:szCs w:val="20"/>
        </w:rPr>
      </w:pPr>
      <w:r w:rsidRPr="005F5270">
        <w:rPr>
          <w:rFonts w:ascii="Tahoma" w:hAnsi="Tahoma" w:cs="Tahoma"/>
          <w:sz w:val="20"/>
          <w:szCs w:val="20"/>
        </w:rPr>
        <w:t xml:space="preserve">Dicha aseveración emitida por el supuesto suscriptor de dicha firma, permite constatar que la información obrante en el documento cuestionado es falsa, pues según lo indicado por el propio ingeniero, nunca suscribió esa declaración jurada, y por ello, no </w:t>
      </w:r>
      <w:r w:rsidRPr="005F5270">
        <w:rPr>
          <w:rFonts w:ascii="Tahoma" w:hAnsi="Tahoma" w:cs="Tahoma"/>
          <w:sz w:val="20"/>
          <w:szCs w:val="20"/>
        </w:rPr>
        <w:lastRenderedPageBreak/>
        <w:t>formó parte del plantel técnico señalado por el Proveedor, lo que permite corroborar la falsedad de la firma obrante en la cuestionada declaración jurada, hecho que constituye prueba suficiente para desvirtuar el principio de Presunción de Veracidad que rige a los procedimientos administrativos, criterio que ha sido adoptado en reiterados pronunciamientos de este Tribunal.</w:t>
      </w:r>
    </w:p>
    <w:p w:rsidR="005F5270" w:rsidRPr="005F5270" w:rsidRDefault="005F5270" w:rsidP="005F5270">
      <w:pPr>
        <w:pStyle w:val="Prrafodelista"/>
        <w:rPr>
          <w:rFonts w:ascii="Tahoma" w:hAnsi="Tahoma" w:cs="Tahoma"/>
          <w:sz w:val="20"/>
        </w:rPr>
      </w:pPr>
      <w:r w:rsidRPr="005F5270">
        <w:rPr>
          <w:rFonts w:ascii="Tahoma" w:hAnsi="Tahoma" w:cs="Tahoma"/>
          <w:sz w:val="20"/>
        </w:rPr>
        <w:t xml:space="preserve"> </w:t>
      </w:r>
    </w:p>
    <w:p w:rsidR="005F5270" w:rsidRPr="005F5270" w:rsidRDefault="005F5270" w:rsidP="005F5270">
      <w:pPr>
        <w:numPr>
          <w:ilvl w:val="0"/>
          <w:numId w:val="5"/>
        </w:numPr>
        <w:spacing w:after="0" w:line="240" w:lineRule="auto"/>
        <w:jc w:val="both"/>
        <w:rPr>
          <w:rFonts w:ascii="Tahoma" w:hAnsi="Tahoma" w:cs="Tahoma"/>
          <w:sz w:val="20"/>
          <w:szCs w:val="20"/>
        </w:rPr>
      </w:pPr>
      <w:r w:rsidRPr="005F5270">
        <w:rPr>
          <w:rFonts w:ascii="Tahoma" w:hAnsi="Tahoma" w:cs="Tahoma"/>
          <w:sz w:val="20"/>
          <w:szCs w:val="20"/>
        </w:rPr>
        <w:t xml:space="preserve">Sin perjuicio de la constatación realizada con la declaración del Ing. Nilton Malpartida Moya, la Dirección de Supervisión, Fiscalización y Estudios, solicitó la realización de la prueba pericial técnica al Sr. </w:t>
      </w:r>
      <w:r w:rsidRPr="005F5270">
        <w:rPr>
          <w:rFonts w:ascii="Tahoma" w:hAnsi="Tahoma" w:cs="Tahoma"/>
          <w:sz w:val="20"/>
          <w:szCs w:val="20"/>
          <w:lang w:val="es-PE"/>
        </w:rPr>
        <w:t>Gustavo Eduardo Arroyo Torres, Perito Judicial Grafotécnico, a efectos que determine la adulteración de la firma obrante en el documento cuestionado, en virtud a la firma obrante en las comunicaciones remitidas por el Ing. Malapartida.</w:t>
      </w:r>
    </w:p>
    <w:p w:rsidR="005F5270" w:rsidRPr="005F5270" w:rsidRDefault="005F5270" w:rsidP="005F5270">
      <w:pPr>
        <w:pStyle w:val="Prrafodelista"/>
        <w:rPr>
          <w:rFonts w:ascii="Tahoma" w:hAnsi="Tahoma" w:cs="Tahoma"/>
          <w:sz w:val="20"/>
        </w:rPr>
      </w:pPr>
    </w:p>
    <w:p w:rsidR="005F5270" w:rsidRPr="005F5270" w:rsidRDefault="005F5270" w:rsidP="005F5270">
      <w:pPr>
        <w:spacing w:line="240" w:lineRule="auto"/>
        <w:ind w:left="786"/>
        <w:jc w:val="both"/>
        <w:rPr>
          <w:rFonts w:ascii="Tahoma" w:hAnsi="Tahoma" w:cs="Tahoma"/>
          <w:sz w:val="20"/>
          <w:szCs w:val="20"/>
          <w:lang w:val="es-PE"/>
        </w:rPr>
      </w:pPr>
      <w:r w:rsidRPr="005F5270">
        <w:rPr>
          <w:rFonts w:ascii="Tahoma" w:hAnsi="Tahoma" w:cs="Tahoma"/>
          <w:sz w:val="20"/>
          <w:szCs w:val="20"/>
        </w:rPr>
        <w:t>Como conclusión de dicho peritaje, se  indicó que l</w:t>
      </w:r>
      <w:r w:rsidRPr="005F5270">
        <w:rPr>
          <w:rFonts w:ascii="Tahoma" w:hAnsi="Tahoma" w:cs="Tahoma"/>
          <w:sz w:val="20"/>
          <w:szCs w:val="20"/>
          <w:lang w:val="es-PE"/>
        </w:rPr>
        <w:t>a firma atribuida a Nilton Giovanni Malpartida Moya, no proviene del puño gráfico de su titular, corroborándose de esta manera la configuración de la infracción tipificada como sancionable, al haber presentado el Proveedor un documento falso ante el Registro Nacional de Proveedores.</w:t>
      </w:r>
    </w:p>
    <w:p w:rsidR="005F5270" w:rsidRPr="005F5270" w:rsidRDefault="005F5270" w:rsidP="005F5270">
      <w:pPr>
        <w:numPr>
          <w:ilvl w:val="0"/>
          <w:numId w:val="5"/>
        </w:numPr>
        <w:spacing w:after="0" w:line="240" w:lineRule="auto"/>
        <w:jc w:val="both"/>
        <w:rPr>
          <w:rFonts w:ascii="Tahoma" w:hAnsi="Tahoma" w:cs="Tahoma"/>
          <w:sz w:val="20"/>
          <w:szCs w:val="20"/>
        </w:rPr>
      </w:pPr>
      <w:r w:rsidRPr="005F5270">
        <w:rPr>
          <w:rFonts w:ascii="Tahoma" w:hAnsi="Tahoma" w:cs="Tahoma"/>
          <w:sz w:val="20"/>
          <w:szCs w:val="20"/>
        </w:rPr>
        <w:t>Respecto a la infracción configurada como sancionable, el Proveedor no ha presentado argumento de defensa alguno que desvirtúe su responsabilidad, a pesar de haber sido debidamente notificado mediante Cédula de Notificación</w:t>
      </w:r>
      <w:r w:rsidRPr="005F5270">
        <w:rPr>
          <w:rFonts w:ascii="Tahoma" w:hAnsi="Tahoma" w:cs="Tahoma"/>
          <w:sz w:val="20"/>
          <w:szCs w:val="20"/>
        </w:rPr>
        <w:br/>
        <w:t>Nº 10894/2011.TC el 19 de mayo de 2011.</w:t>
      </w:r>
    </w:p>
    <w:p w:rsidR="005F5270" w:rsidRPr="005F5270" w:rsidRDefault="005F5270" w:rsidP="005F5270">
      <w:pPr>
        <w:pStyle w:val="Prrafodelista"/>
        <w:rPr>
          <w:rFonts w:ascii="Tahoma" w:hAnsi="Tahoma" w:cs="Tahoma"/>
          <w:sz w:val="20"/>
          <w:highlight w:val="yellow"/>
        </w:rPr>
      </w:pPr>
    </w:p>
    <w:p w:rsidR="005F5270" w:rsidRPr="005F5270" w:rsidRDefault="005F5270" w:rsidP="005F5270">
      <w:pPr>
        <w:numPr>
          <w:ilvl w:val="0"/>
          <w:numId w:val="5"/>
        </w:numPr>
        <w:spacing w:after="0" w:line="240" w:lineRule="auto"/>
        <w:jc w:val="both"/>
        <w:rPr>
          <w:rFonts w:ascii="Tahoma" w:hAnsi="Tahoma" w:cs="Tahoma"/>
          <w:sz w:val="20"/>
          <w:szCs w:val="20"/>
        </w:rPr>
      </w:pPr>
      <w:r w:rsidRPr="005F5270">
        <w:rPr>
          <w:rFonts w:ascii="Tahoma" w:hAnsi="Tahoma" w:cs="Tahoma"/>
          <w:sz w:val="20"/>
          <w:szCs w:val="20"/>
        </w:rPr>
        <w:t xml:space="preserve">De lo señalado con anterioridad, se puede concluir que el Proveedor presentó documento falso, a efectos de iniciar su trámite de inscripción como Consultor de Obras ante el Registro Nacional de Proveedores, tal como se ha podido </w:t>
      </w:r>
      <w:r w:rsidRPr="005F5270">
        <w:rPr>
          <w:rFonts w:ascii="Tahoma" w:hAnsi="Tahoma" w:cs="Tahoma"/>
          <w:sz w:val="20"/>
          <w:szCs w:val="20"/>
          <w:u w:val="single"/>
        </w:rPr>
        <w:t>constatar de la información proporcionada por el propio ingeniero supuestamente acreditado como parte del plantel técnico</w:t>
      </w:r>
      <w:r w:rsidRPr="005F5270">
        <w:rPr>
          <w:rFonts w:ascii="Tahoma" w:hAnsi="Tahoma" w:cs="Tahoma"/>
          <w:sz w:val="20"/>
          <w:szCs w:val="20"/>
        </w:rPr>
        <w:t xml:space="preserve">; con lo cual, queda evidenciado, de todo lo anteriormente expresado, la </w:t>
      </w:r>
      <w:r w:rsidRPr="005F5270">
        <w:rPr>
          <w:rFonts w:ascii="Tahoma" w:hAnsi="Tahoma" w:cs="Tahoma"/>
          <w:i/>
          <w:iCs/>
          <w:sz w:val="20"/>
          <w:szCs w:val="20"/>
        </w:rPr>
        <w:t>trasgresión al Principio de Presunción de Veracidad</w:t>
      </w:r>
      <w:r w:rsidRPr="005F5270">
        <w:rPr>
          <w:rFonts w:ascii="Tahoma" w:hAnsi="Tahoma" w:cs="Tahoma"/>
          <w:sz w:val="20"/>
          <w:szCs w:val="20"/>
        </w:rPr>
        <w:t xml:space="preserve"> en la que incurrió la empresa proveedora.</w:t>
      </w:r>
    </w:p>
    <w:p w:rsidR="005F5270" w:rsidRPr="005F5270" w:rsidRDefault="005F5270" w:rsidP="005F5270">
      <w:pPr>
        <w:pStyle w:val="Prrafodelista"/>
        <w:rPr>
          <w:rFonts w:ascii="Tahoma" w:hAnsi="Tahoma" w:cs="Tahoma"/>
          <w:sz w:val="20"/>
          <w:highlight w:val="yellow"/>
        </w:rPr>
      </w:pPr>
    </w:p>
    <w:p w:rsidR="005F5270" w:rsidRPr="005F5270" w:rsidRDefault="005F5270" w:rsidP="005F5270">
      <w:pPr>
        <w:numPr>
          <w:ilvl w:val="0"/>
          <w:numId w:val="5"/>
        </w:numPr>
        <w:spacing w:after="0" w:line="240" w:lineRule="auto"/>
        <w:jc w:val="both"/>
        <w:rPr>
          <w:rFonts w:ascii="Tahoma" w:hAnsi="Tahoma" w:cs="Tahoma"/>
          <w:sz w:val="20"/>
          <w:szCs w:val="20"/>
        </w:rPr>
      </w:pPr>
      <w:r w:rsidRPr="005F5270">
        <w:rPr>
          <w:rFonts w:ascii="Tahoma" w:hAnsi="Tahoma" w:cs="Tahoma"/>
          <w:sz w:val="20"/>
          <w:szCs w:val="20"/>
        </w:rPr>
        <w:t>Teniendo en cuenta las consideraciones expuestas, corresponde imponer sanción administrativa al Proveedor, al haber  incurrido en la causal de infracción tipificada en el numeral 10) del artículo 294 del Reglamento.</w:t>
      </w:r>
    </w:p>
    <w:p w:rsidR="005F5270" w:rsidRPr="005F5270" w:rsidRDefault="005F5270" w:rsidP="005F5270">
      <w:pPr>
        <w:jc w:val="both"/>
        <w:rPr>
          <w:rFonts w:ascii="Tahoma" w:hAnsi="Tahoma" w:cs="Tahoma"/>
          <w:sz w:val="20"/>
          <w:szCs w:val="20"/>
          <w:highlight w:val="yellow"/>
        </w:rPr>
      </w:pPr>
    </w:p>
    <w:p w:rsidR="005F5270" w:rsidRPr="005F5270" w:rsidRDefault="005F5270" w:rsidP="005F5270">
      <w:pPr>
        <w:ind w:left="900"/>
        <w:jc w:val="both"/>
        <w:rPr>
          <w:rFonts w:ascii="Tahoma" w:hAnsi="Tahoma" w:cs="Tahoma"/>
          <w:sz w:val="20"/>
          <w:szCs w:val="20"/>
        </w:rPr>
      </w:pPr>
      <w:r w:rsidRPr="005F5270">
        <w:rPr>
          <w:rFonts w:ascii="Tahoma" w:hAnsi="Tahoma" w:cs="Tahoma"/>
          <w:b/>
          <w:bCs/>
          <w:sz w:val="20"/>
          <w:szCs w:val="20"/>
          <w:u w:val="single"/>
        </w:rPr>
        <w:t>Respecto de la Sanción imponible</w:t>
      </w:r>
      <w:r w:rsidRPr="005F5270">
        <w:rPr>
          <w:rFonts w:ascii="Tahoma" w:hAnsi="Tahoma" w:cs="Tahoma"/>
          <w:sz w:val="20"/>
          <w:szCs w:val="20"/>
        </w:rPr>
        <w:t>.</w:t>
      </w:r>
    </w:p>
    <w:p w:rsidR="005F5270" w:rsidRPr="005F5270" w:rsidRDefault="005F5270" w:rsidP="005F5270">
      <w:pPr>
        <w:numPr>
          <w:ilvl w:val="0"/>
          <w:numId w:val="5"/>
        </w:numPr>
        <w:tabs>
          <w:tab w:val="left" w:pos="1080"/>
        </w:tabs>
        <w:spacing w:after="0" w:line="240" w:lineRule="auto"/>
        <w:jc w:val="both"/>
        <w:rPr>
          <w:rFonts w:ascii="Tahoma" w:hAnsi="Tahoma" w:cs="Tahoma"/>
          <w:sz w:val="20"/>
          <w:szCs w:val="20"/>
        </w:rPr>
      </w:pPr>
      <w:r w:rsidRPr="005F5270">
        <w:rPr>
          <w:rFonts w:ascii="Tahoma" w:hAnsi="Tahoma" w:cs="Tahoma"/>
          <w:sz w:val="20"/>
          <w:szCs w:val="20"/>
        </w:rPr>
        <w:t>En relación a la graduación de la sanción imponible, el artículo 294º del Reglamento establece que los postores que presente documentos falsos o inexactos serán sancionados con inhabilitación temporal para contratar con el Estado por un periodo no menor de tres (3) meses ni mayor de doce (12) meses.</w:t>
      </w:r>
    </w:p>
    <w:p w:rsidR="005F5270" w:rsidRDefault="005F5270" w:rsidP="005F5270">
      <w:pPr>
        <w:tabs>
          <w:tab w:val="left" w:pos="1080"/>
        </w:tabs>
        <w:spacing w:after="0" w:line="240" w:lineRule="auto"/>
        <w:ind w:left="786"/>
        <w:jc w:val="both"/>
        <w:rPr>
          <w:rFonts w:ascii="Tahoma" w:hAnsi="Tahoma" w:cs="Tahoma"/>
          <w:sz w:val="20"/>
          <w:szCs w:val="20"/>
        </w:rPr>
      </w:pPr>
    </w:p>
    <w:p w:rsidR="005F5270" w:rsidRPr="005F5270" w:rsidRDefault="005F5270" w:rsidP="005F5270">
      <w:pPr>
        <w:numPr>
          <w:ilvl w:val="0"/>
          <w:numId w:val="5"/>
        </w:numPr>
        <w:tabs>
          <w:tab w:val="left" w:pos="1080"/>
        </w:tabs>
        <w:spacing w:after="0" w:line="240" w:lineRule="auto"/>
        <w:jc w:val="both"/>
        <w:rPr>
          <w:rFonts w:ascii="Tahoma" w:hAnsi="Tahoma" w:cs="Tahoma"/>
          <w:sz w:val="20"/>
          <w:szCs w:val="20"/>
        </w:rPr>
      </w:pPr>
      <w:r w:rsidRPr="005F5270">
        <w:rPr>
          <w:rFonts w:ascii="Tahoma" w:hAnsi="Tahoma" w:cs="Tahoma"/>
          <w:sz w:val="20"/>
          <w:szCs w:val="20"/>
        </w:rPr>
        <w:t xml:space="preserve"> En tal sentido, y a efectos de graduar la sanción a imponerse, este Colegiado  tiene en consideración los criterios consignados en el artículo 302 del Reglamento, entre ellos, la naturaleza de la infracción, la reiterancia, las condiciones del infractor y la conducta procesal del mismo, debiendo tenerse en cuenta, en el presente caso lo siguiente: </w:t>
      </w:r>
    </w:p>
    <w:p w:rsidR="005F5270" w:rsidRDefault="005F5270" w:rsidP="005F5270">
      <w:pPr>
        <w:pStyle w:val="Prrafodelista1"/>
        <w:ind w:left="1080"/>
        <w:jc w:val="both"/>
        <w:rPr>
          <w:rFonts w:ascii="Tahoma" w:hAnsi="Tahoma" w:cs="Tahoma"/>
          <w:sz w:val="20"/>
          <w:szCs w:val="20"/>
        </w:rPr>
      </w:pPr>
    </w:p>
    <w:p w:rsidR="005F5270" w:rsidRPr="005F5270" w:rsidRDefault="005F5270" w:rsidP="005F5270">
      <w:pPr>
        <w:pStyle w:val="Prrafodelista1"/>
        <w:numPr>
          <w:ilvl w:val="0"/>
          <w:numId w:val="2"/>
        </w:numPr>
        <w:jc w:val="both"/>
        <w:rPr>
          <w:rFonts w:ascii="Tahoma" w:hAnsi="Tahoma" w:cs="Tahoma"/>
          <w:sz w:val="20"/>
          <w:szCs w:val="20"/>
        </w:rPr>
      </w:pPr>
      <w:r w:rsidRPr="005F5270">
        <w:rPr>
          <w:rFonts w:ascii="Tahoma" w:hAnsi="Tahoma" w:cs="Tahoma"/>
          <w:sz w:val="20"/>
          <w:szCs w:val="20"/>
        </w:rPr>
        <w:t xml:space="preserve">La infracción cometida reviste una considerable gravedad, debido a que vulnera el </w:t>
      </w:r>
      <w:r w:rsidRPr="005F5270">
        <w:rPr>
          <w:rFonts w:ascii="Tahoma" w:hAnsi="Tahoma" w:cs="Tahoma"/>
          <w:i/>
          <w:iCs/>
          <w:sz w:val="20"/>
          <w:szCs w:val="20"/>
        </w:rPr>
        <w:t xml:space="preserve">Principio de Moralidad </w:t>
      </w:r>
      <w:r w:rsidRPr="005F5270">
        <w:rPr>
          <w:rFonts w:ascii="Tahoma" w:hAnsi="Tahoma" w:cs="Tahoma"/>
          <w:sz w:val="20"/>
          <w:szCs w:val="20"/>
        </w:rPr>
        <w:t xml:space="preserve">que debe regir a todos los actos vinculados a las contrataciones públicas. Por lo demás, dicho principio, junto a la </w:t>
      </w:r>
      <w:r w:rsidRPr="005F5270">
        <w:rPr>
          <w:rFonts w:ascii="Tahoma" w:hAnsi="Tahoma" w:cs="Tahoma"/>
          <w:i/>
          <w:iCs/>
          <w:sz w:val="20"/>
          <w:szCs w:val="20"/>
        </w:rPr>
        <w:t>fe pública</w:t>
      </w:r>
      <w:r w:rsidRPr="005F5270">
        <w:rPr>
          <w:rFonts w:ascii="Tahoma" w:hAnsi="Tahoma" w:cs="Tahoma"/>
          <w:sz w:val="20"/>
          <w:szCs w:val="20"/>
        </w:rPr>
        <w:t xml:space="preserve">, </w:t>
      </w:r>
      <w:r w:rsidRPr="005F5270">
        <w:rPr>
          <w:rFonts w:ascii="Tahoma" w:hAnsi="Tahoma" w:cs="Tahoma"/>
          <w:sz w:val="20"/>
          <w:szCs w:val="20"/>
        </w:rPr>
        <w:lastRenderedPageBreak/>
        <w:t>constituyen bienes jurídicos merecedores de protección especial, pues constituyen los pilares de las relaciones suscitadas entre la Administración Pública y los administrados.</w:t>
      </w:r>
    </w:p>
    <w:p w:rsidR="005F5270" w:rsidRPr="005F5270" w:rsidRDefault="005F5270" w:rsidP="005F5270">
      <w:pPr>
        <w:pStyle w:val="Prrafodelista1"/>
        <w:ind w:left="1080"/>
        <w:rPr>
          <w:rFonts w:ascii="Tahoma" w:hAnsi="Tahoma" w:cs="Tahoma"/>
          <w:sz w:val="20"/>
          <w:szCs w:val="20"/>
        </w:rPr>
      </w:pPr>
    </w:p>
    <w:p w:rsidR="005F5270" w:rsidRPr="005F5270" w:rsidRDefault="005F5270" w:rsidP="005F5270">
      <w:pPr>
        <w:pStyle w:val="Prrafodelista1"/>
        <w:numPr>
          <w:ilvl w:val="0"/>
          <w:numId w:val="2"/>
        </w:numPr>
        <w:jc w:val="both"/>
        <w:rPr>
          <w:rFonts w:ascii="Tahoma" w:hAnsi="Tahoma" w:cs="Tahoma"/>
          <w:sz w:val="20"/>
          <w:szCs w:val="20"/>
        </w:rPr>
      </w:pPr>
      <w:r w:rsidRPr="005F5270">
        <w:rPr>
          <w:rFonts w:ascii="Tahoma" w:hAnsi="Tahoma" w:cs="Tahoma"/>
          <w:sz w:val="20"/>
          <w:szCs w:val="20"/>
        </w:rPr>
        <w:t xml:space="preserve">La falsedad del mencionado documento presentado por el Proveedor en su  trámite de inscripción como Consultor de Obras ante el Registro Nacional de Proveedores, ha  sido fehacientemente </w:t>
      </w:r>
      <w:r w:rsidRPr="005F5270">
        <w:rPr>
          <w:rFonts w:ascii="Tahoma" w:hAnsi="Tahoma" w:cs="Tahoma"/>
          <w:color w:val="000000"/>
          <w:sz w:val="20"/>
          <w:szCs w:val="20"/>
        </w:rPr>
        <w:t>acreditada por la Entidad y por este Colegiado.</w:t>
      </w:r>
    </w:p>
    <w:p w:rsidR="005F5270" w:rsidRPr="005F5270" w:rsidRDefault="005F5270" w:rsidP="005F5270">
      <w:pPr>
        <w:pStyle w:val="Prrafodelista1"/>
        <w:rPr>
          <w:rFonts w:ascii="Tahoma" w:hAnsi="Tahoma" w:cs="Tahoma"/>
          <w:sz w:val="20"/>
          <w:szCs w:val="20"/>
        </w:rPr>
      </w:pPr>
    </w:p>
    <w:p w:rsidR="005F5270" w:rsidRPr="005F5270" w:rsidRDefault="005F5270" w:rsidP="005F5270">
      <w:pPr>
        <w:pStyle w:val="Prrafodelista1"/>
        <w:numPr>
          <w:ilvl w:val="0"/>
          <w:numId w:val="2"/>
        </w:numPr>
        <w:jc w:val="both"/>
        <w:rPr>
          <w:rFonts w:ascii="Tahoma" w:hAnsi="Tahoma" w:cs="Tahoma"/>
          <w:sz w:val="20"/>
          <w:szCs w:val="20"/>
        </w:rPr>
      </w:pPr>
      <w:r w:rsidRPr="005F5270">
        <w:rPr>
          <w:rFonts w:ascii="Tahoma" w:hAnsi="Tahoma" w:cs="Tahoma"/>
          <w:sz w:val="20"/>
          <w:szCs w:val="20"/>
        </w:rPr>
        <w:t>Así, también debe evaluarse la conducta adoptada por el Proveedor a lo largo del procedimiento, quién  no ha presentado sus descargos.</w:t>
      </w:r>
    </w:p>
    <w:p w:rsidR="005F5270" w:rsidRPr="005F5270" w:rsidRDefault="005F5270" w:rsidP="005F5270">
      <w:pPr>
        <w:pStyle w:val="Prrafodelista1"/>
        <w:rPr>
          <w:rFonts w:ascii="Tahoma" w:hAnsi="Tahoma" w:cs="Tahoma"/>
          <w:sz w:val="20"/>
          <w:szCs w:val="20"/>
        </w:rPr>
      </w:pPr>
    </w:p>
    <w:p w:rsidR="005F5270" w:rsidRPr="005F5270" w:rsidRDefault="005F5270" w:rsidP="005F5270">
      <w:pPr>
        <w:pStyle w:val="Prrafodelista1"/>
        <w:numPr>
          <w:ilvl w:val="0"/>
          <w:numId w:val="2"/>
        </w:numPr>
        <w:jc w:val="both"/>
        <w:rPr>
          <w:rFonts w:ascii="Tahoma" w:hAnsi="Tahoma" w:cs="Tahoma"/>
          <w:sz w:val="20"/>
          <w:szCs w:val="20"/>
        </w:rPr>
      </w:pPr>
      <w:r w:rsidRPr="005F5270">
        <w:rPr>
          <w:rFonts w:ascii="Tahoma" w:hAnsi="Tahoma" w:cs="Tahoma"/>
          <w:sz w:val="20"/>
          <w:szCs w:val="20"/>
        </w:rPr>
        <w:t>Sin perjuicio de lo anterior, en lo que concierne a las condiciones del infractor, es importante indicar que el Proveedor no cuenta con antecedentes en la comisión de infracciones previstas en el Reglamento, lo cual será tomado en consideración por esta Sala como criterio atenuante de la sanción a imponerse.</w:t>
      </w:r>
    </w:p>
    <w:p w:rsidR="005F5270" w:rsidRDefault="005F5270" w:rsidP="005F5270">
      <w:pPr>
        <w:spacing w:after="0" w:line="240" w:lineRule="auto"/>
        <w:ind w:left="851"/>
        <w:jc w:val="both"/>
        <w:rPr>
          <w:rFonts w:ascii="Tahoma" w:hAnsi="Tahoma" w:cs="Tahoma"/>
          <w:sz w:val="20"/>
          <w:szCs w:val="20"/>
        </w:rPr>
      </w:pPr>
    </w:p>
    <w:p w:rsidR="005F5270" w:rsidRPr="005F5270" w:rsidRDefault="005F5270" w:rsidP="005F5270">
      <w:pPr>
        <w:numPr>
          <w:ilvl w:val="0"/>
          <w:numId w:val="5"/>
        </w:numPr>
        <w:spacing w:after="0" w:line="240" w:lineRule="auto"/>
        <w:ind w:left="851" w:hanging="491"/>
        <w:jc w:val="both"/>
        <w:rPr>
          <w:rFonts w:ascii="Tahoma" w:hAnsi="Tahoma" w:cs="Tahoma"/>
          <w:sz w:val="20"/>
          <w:szCs w:val="20"/>
        </w:rPr>
      </w:pPr>
      <w:r w:rsidRPr="005F5270">
        <w:rPr>
          <w:rFonts w:ascii="Tahoma" w:hAnsi="Tahoma" w:cs="Tahoma"/>
          <w:sz w:val="20"/>
          <w:szCs w:val="20"/>
        </w:rPr>
        <w:t xml:space="preserve"> Asimismo, </w:t>
      </w:r>
      <w:r w:rsidRPr="005F5270">
        <w:rPr>
          <w:rFonts w:ascii="Tahoma" w:hAnsi="Tahoma" w:cs="Tahoma"/>
          <w:color w:val="000000"/>
          <w:sz w:val="20"/>
          <w:szCs w:val="20"/>
        </w:rPr>
        <w:t xml:space="preserve">resulta importante traer a colación el </w:t>
      </w:r>
      <w:r w:rsidRPr="005F5270">
        <w:rPr>
          <w:rFonts w:ascii="Tahoma" w:hAnsi="Tahoma" w:cs="Tahoma"/>
          <w:i/>
          <w:iCs/>
          <w:color w:val="000000"/>
          <w:sz w:val="20"/>
          <w:szCs w:val="20"/>
        </w:rPr>
        <w:t>Principio de Razonabilidad</w:t>
      </w:r>
      <w:r w:rsidRPr="005F5270">
        <w:rPr>
          <w:rFonts w:ascii="Tahoma" w:hAnsi="Tahoma" w:cs="Tahoma"/>
          <w:color w:val="000000"/>
          <w:sz w:val="20"/>
          <w:szCs w:val="20"/>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la debida proporción entre los medios a emplear y los fines públicos que deba tutelar, a fin de que respondan a lo estrictamente necesario para la satisfacción de su cometido.</w:t>
      </w:r>
    </w:p>
    <w:p w:rsidR="005F5270" w:rsidRDefault="005F5270" w:rsidP="005F5270">
      <w:pPr>
        <w:spacing w:after="0" w:line="240" w:lineRule="auto"/>
        <w:ind w:left="851"/>
        <w:jc w:val="both"/>
        <w:rPr>
          <w:rFonts w:ascii="Tahoma" w:hAnsi="Tahoma" w:cs="Tahoma"/>
          <w:sz w:val="20"/>
          <w:szCs w:val="20"/>
        </w:rPr>
      </w:pPr>
    </w:p>
    <w:p w:rsidR="005F5270" w:rsidRPr="005F5270" w:rsidRDefault="005F5270" w:rsidP="005F5270">
      <w:pPr>
        <w:numPr>
          <w:ilvl w:val="0"/>
          <w:numId w:val="5"/>
        </w:numPr>
        <w:spacing w:after="0" w:line="240" w:lineRule="auto"/>
        <w:ind w:left="851" w:hanging="491"/>
        <w:jc w:val="both"/>
        <w:rPr>
          <w:rFonts w:ascii="Tahoma" w:hAnsi="Tahoma" w:cs="Tahoma"/>
          <w:sz w:val="20"/>
          <w:szCs w:val="20"/>
        </w:rPr>
      </w:pPr>
      <w:r w:rsidRPr="005F5270">
        <w:rPr>
          <w:rFonts w:ascii="Tahoma" w:hAnsi="Tahoma" w:cs="Tahoma"/>
          <w:sz w:val="20"/>
          <w:szCs w:val="20"/>
        </w:rPr>
        <w:t>Consecuentemente, en virtud a los criterios expuestos, este Colegiado considera que corresponde imponer al contratista una sanción equivalente a nueve (09) meses de inhabilitación temporal para participar en procesos de selección y para contratar con el Estado.</w:t>
      </w:r>
    </w:p>
    <w:p w:rsidR="005F5270" w:rsidRDefault="005F5270" w:rsidP="005F5270">
      <w:pPr>
        <w:spacing w:after="0" w:line="240" w:lineRule="auto"/>
        <w:ind w:left="851"/>
        <w:jc w:val="both"/>
        <w:rPr>
          <w:rFonts w:ascii="Tahoma" w:hAnsi="Tahoma" w:cs="Tahoma"/>
          <w:sz w:val="20"/>
          <w:szCs w:val="20"/>
        </w:rPr>
      </w:pPr>
    </w:p>
    <w:p w:rsidR="005F5270" w:rsidRPr="005F5270" w:rsidRDefault="005F5270" w:rsidP="005F5270">
      <w:pPr>
        <w:numPr>
          <w:ilvl w:val="0"/>
          <w:numId w:val="5"/>
        </w:numPr>
        <w:tabs>
          <w:tab w:val="clear" w:pos="786"/>
        </w:tabs>
        <w:spacing w:after="0" w:line="240" w:lineRule="auto"/>
        <w:ind w:left="851" w:hanging="491"/>
        <w:jc w:val="both"/>
        <w:rPr>
          <w:rFonts w:ascii="Tahoma" w:hAnsi="Tahoma" w:cs="Tahoma"/>
          <w:sz w:val="20"/>
          <w:szCs w:val="20"/>
        </w:rPr>
      </w:pPr>
      <w:r w:rsidRPr="005F5270">
        <w:rPr>
          <w:rFonts w:ascii="Tahoma" w:hAnsi="Tahoma" w:cs="Tahoma"/>
          <w:sz w:val="20"/>
          <w:szCs w:val="20"/>
        </w:rPr>
        <w:t>Finalmente, atendiendo a que los hechos materia del presente análisis se encuentran relacionados a la investigación seguida por el Ministerio Público, por la presunta comisión de los delitos contra la función jurisdiccional (falsa declaración en procedimiento administrativo) y contra la fe pública (falsificación de firma) se dispone poner en conocimiento de dicha autoridad la presente Resolución, para los fines pertinentes.</w:t>
      </w:r>
    </w:p>
    <w:p w:rsidR="005F5270" w:rsidRPr="005F5270" w:rsidRDefault="005F5270" w:rsidP="005F5270">
      <w:pPr>
        <w:spacing w:after="0" w:line="240" w:lineRule="auto"/>
        <w:ind w:firstLine="567"/>
        <w:jc w:val="both"/>
        <w:rPr>
          <w:rFonts w:ascii="Tahoma" w:hAnsi="Tahoma" w:cs="Tahoma"/>
          <w:sz w:val="20"/>
          <w:szCs w:val="20"/>
        </w:rPr>
      </w:pPr>
    </w:p>
    <w:p w:rsidR="005F5270" w:rsidRPr="005F5270" w:rsidRDefault="005F5270" w:rsidP="005F5270">
      <w:pPr>
        <w:spacing w:after="0" w:line="240" w:lineRule="auto"/>
        <w:ind w:left="-284" w:firstLine="360"/>
        <w:jc w:val="both"/>
        <w:rPr>
          <w:rFonts w:ascii="Tahoma" w:hAnsi="Tahoma" w:cs="Tahoma"/>
          <w:sz w:val="20"/>
          <w:szCs w:val="20"/>
        </w:rPr>
      </w:pPr>
      <w:r w:rsidRPr="005F5270">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5F5270" w:rsidRDefault="005F5270" w:rsidP="005F5270">
      <w:pPr>
        <w:spacing w:after="0" w:line="240" w:lineRule="auto"/>
        <w:jc w:val="both"/>
        <w:rPr>
          <w:rFonts w:ascii="Tahoma" w:hAnsi="Tahoma" w:cs="Tahoma"/>
          <w:sz w:val="20"/>
          <w:szCs w:val="20"/>
        </w:rPr>
      </w:pPr>
    </w:p>
    <w:p w:rsidR="004F3C81" w:rsidRDefault="004F3C81" w:rsidP="005F5270">
      <w:pPr>
        <w:spacing w:after="0" w:line="240" w:lineRule="auto"/>
        <w:jc w:val="both"/>
        <w:rPr>
          <w:rFonts w:ascii="Tahoma" w:hAnsi="Tahoma" w:cs="Tahoma"/>
          <w:sz w:val="20"/>
          <w:szCs w:val="20"/>
        </w:rPr>
      </w:pPr>
    </w:p>
    <w:p w:rsidR="004F3C81" w:rsidRPr="005F5270" w:rsidRDefault="004F3C81" w:rsidP="005F5270">
      <w:pPr>
        <w:spacing w:after="0" w:line="240" w:lineRule="auto"/>
        <w:jc w:val="both"/>
        <w:rPr>
          <w:rFonts w:ascii="Tahoma" w:hAnsi="Tahoma" w:cs="Tahoma"/>
          <w:sz w:val="20"/>
          <w:szCs w:val="20"/>
        </w:rPr>
      </w:pPr>
    </w:p>
    <w:p w:rsidR="005F5270" w:rsidRPr="005F5270" w:rsidRDefault="005F5270" w:rsidP="005F5270">
      <w:pPr>
        <w:spacing w:after="0" w:line="240" w:lineRule="auto"/>
        <w:jc w:val="both"/>
        <w:rPr>
          <w:rFonts w:ascii="Tahoma" w:hAnsi="Tahoma" w:cs="Tahoma"/>
          <w:sz w:val="20"/>
          <w:szCs w:val="20"/>
        </w:rPr>
      </w:pPr>
    </w:p>
    <w:p w:rsidR="005F5270" w:rsidRPr="005F5270" w:rsidRDefault="005F5270" w:rsidP="005F5270">
      <w:pPr>
        <w:spacing w:after="0" w:line="240" w:lineRule="auto"/>
        <w:ind w:right="-315"/>
        <w:jc w:val="both"/>
        <w:rPr>
          <w:rFonts w:ascii="Tahoma" w:hAnsi="Tahoma" w:cs="Tahoma"/>
          <w:b/>
          <w:sz w:val="20"/>
          <w:szCs w:val="20"/>
        </w:rPr>
      </w:pPr>
      <w:r w:rsidRPr="005F5270">
        <w:rPr>
          <w:rFonts w:ascii="Tahoma" w:hAnsi="Tahoma" w:cs="Tahoma"/>
          <w:b/>
          <w:sz w:val="20"/>
          <w:szCs w:val="20"/>
        </w:rPr>
        <w:lastRenderedPageBreak/>
        <w:t>LA SALA RESUELVE:</w:t>
      </w:r>
    </w:p>
    <w:p w:rsidR="005F5270" w:rsidRDefault="005F5270" w:rsidP="005F5270">
      <w:pPr>
        <w:pStyle w:val="Prrafodelista"/>
        <w:widowControl/>
        <w:suppressAutoHyphens w:val="0"/>
        <w:ind w:left="851"/>
        <w:jc w:val="both"/>
        <w:rPr>
          <w:rFonts w:ascii="Tahoma" w:hAnsi="Tahoma" w:cs="Tahoma"/>
          <w:sz w:val="20"/>
        </w:rPr>
      </w:pPr>
    </w:p>
    <w:p w:rsidR="005F5270" w:rsidRPr="005F5270" w:rsidRDefault="005F5270" w:rsidP="005F5270">
      <w:pPr>
        <w:pStyle w:val="Prrafodelista"/>
        <w:widowControl/>
        <w:numPr>
          <w:ilvl w:val="0"/>
          <w:numId w:val="6"/>
        </w:numPr>
        <w:suppressAutoHyphens w:val="0"/>
        <w:ind w:left="851" w:hanging="284"/>
        <w:jc w:val="both"/>
        <w:rPr>
          <w:rFonts w:ascii="Tahoma" w:hAnsi="Tahoma" w:cs="Tahoma"/>
          <w:sz w:val="20"/>
        </w:rPr>
      </w:pPr>
      <w:r w:rsidRPr="005F5270">
        <w:rPr>
          <w:rFonts w:ascii="Tahoma" w:hAnsi="Tahoma" w:cs="Tahoma"/>
          <w:sz w:val="20"/>
        </w:rPr>
        <w:t xml:space="preserve">SANCIONAR a la empresa </w:t>
      </w:r>
      <w:r w:rsidRPr="005F5270">
        <w:rPr>
          <w:rFonts w:ascii="Tahoma" w:hAnsi="Tahoma" w:cs="Tahoma"/>
          <w:sz w:val="20"/>
          <w:lang w:val="es-PE"/>
        </w:rPr>
        <w:t>HERMANOS CONTRATISTAS SERVICIOS GENERALES S.R.L. (HERCO SERVICIOS GENERALES S.R.L.)</w:t>
      </w:r>
      <w:r w:rsidRPr="005F5270">
        <w:rPr>
          <w:rFonts w:ascii="Tahoma" w:hAnsi="Tahoma" w:cs="Tahoma"/>
          <w:sz w:val="20"/>
        </w:rPr>
        <w:t xml:space="preserve"> con  nueve (09) meses de inhabilitación temporal para participar en procesos de selección y contratar con el Estado, sanción que entrará en vigencia a partir del sexto día hábil siguiente de notificada la presente resolución.</w:t>
      </w:r>
    </w:p>
    <w:p w:rsidR="005F5270" w:rsidRPr="005F5270" w:rsidRDefault="005F5270" w:rsidP="005F5270">
      <w:pPr>
        <w:pStyle w:val="Prrafodelista"/>
        <w:ind w:left="851"/>
        <w:jc w:val="both"/>
        <w:rPr>
          <w:rFonts w:ascii="Tahoma" w:hAnsi="Tahoma" w:cs="Tahoma"/>
          <w:sz w:val="20"/>
        </w:rPr>
      </w:pPr>
    </w:p>
    <w:p w:rsidR="005F5270" w:rsidRPr="005F5270" w:rsidRDefault="005F5270" w:rsidP="005F5270">
      <w:pPr>
        <w:pStyle w:val="Prrafodelista"/>
        <w:widowControl/>
        <w:numPr>
          <w:ilvl w:val="0"/>
          <w:numId w:val="6"/>
        </w:numPr>
        <w:suppressAutoHyphens w:val="0"/>
        <w:ind w:left="851" w:hanging="284"/>
        <w:jc w:val="both"/>
        <w:rPr>
          <w:rFonts w:ascii="Tahoma" w:hAnsi="Tahoma" w:cs="Tahoma"/>
          <w:sz w:val="20"/>
        </w:rPr>
      </w:pPr>
      <w:r w:rsidRPr="005F5270">
        <w:rPr>
          <w:rFonts w:ascii="Tahoma" w:hAnsi="Tahoma" w:cs="Tahoma"/>
          <w:sz w:val="20"/>
        </w:rPr>
        <w:t>Poner la presente Resolución en conocimiento de la Subdirección del Registro Nacional de Proveedores del Organismo Supervisor de las Contrataciones del Estado (OSCE), para las anotaciones de ley.</w:t>
      </w:r>
    </w:p>
    <w:p w:rsidR="005F5270" w:rsidRPr="005F5270" w:rsidRDefault="005F5270" w:rsidP="005F5270">
      <w:pPr>
        <w:pStyle w:val="Prrafodelista"/>
        <w:ind w:left="0"/>
        <w:jc w:val="both"/>
        <w:rPr>
          <w:rFonts w:ascii="Tahoma" w:hAnsi="Tahoma" w:cs="Tahoma"/>
          <w:sz w:val="20"/>
        </w:rPr>
      </w:pPr>
    </w:p>
    <w:p w:rsidR="005F5270" w:rsidRPr="005F5270" w:rsidRDefault="005F5270" w:rsidP="005F5270">
      <w:pPr>
        <w:pStyle w:val="Prrafodelista"/>
        <w:widowControl/>
        <w:numPr>
          <w:ilvl w:val="0"/>
          <w:numId w:val="6"/>
        </w:numPr>
        <w:suppressAutoHyphens w:val="0"/>
        <w:ind w:left="851" w:hanging="284"/>
        <w:jc w:val="both"/>
        <w:rPr>
          <w:rFonts w:ascii="Tahoma" w:hAnsi="Tahoma" w:cs="Tahoma"/>
          <w:sz w:val="20"/>
        </w:rPr>
      </w:pPr>
      <w:r w:rsidRPr="005F5270">
        <w:rPr>
          <w:rFonts w:ascii="Tahoma" w:hAnsi="Tahoma" w:cs="Tahoma"/>
          <w:sz w:val="20"/>
        </w:rPr>
        <w:t>Poner la presente Resolución en conocimiento del Ministerio Público, para los fines pertinentes.</w:t>
      </w:r>
    </w:p>
    <w:p w:rsidR="005F5270" w:rsidRPr="005F5270" w:rsidRDefault="005F5270" w:rsidP="005F5270">
      <w:pPr>
        <w:pStyle w:val="Textonotapie"/>
        <w:ind w:left="720"/>
      </w:pPr>
    </w:p>
    <w:p w:rsidR="005F5270" w:rsidRPr="005F5270" w:rsidRDefault="005F5270" w:rsidP="005F5270">
      <w:pPr>
        <w:pStyle w:val="Ttulo3"/>
        <w:spacing w:line="240" w:lineRule="auto"/>
        <w:jc w:val="both"/>
        <w:rPr>
          <w:rFonts w:ascii="Tahoma" w:hAnsi="Tahoma" w:cs="Tahoma"/>
          <w:b w:val="0"/>
          <w:bCs w:val="0"/>
          <w:sz w:val="20"/>
          <w:szCs w:val="20"/>
        </w:rPr>
      </w:pPr>
      <w:r w:rsidRPr="005F5270">
        <w:rPr>
          <w:rFonts w:ascii="Tahoma" w:hAnsi="Tahoma" w:cs="Tahoma"/>
          <w:b w:val="0"/>
          <w:sz w:val="20"/>
          <w:szCs w:val="20"/>
        </w:rPr>
        <w:t>Regístrese, comuníquese y publíquese.</w:t>
      </w:r>
    </w:p>
    <w:p w:rsidR="005F5270" w:rsidRPr="005F5270" w:rsidRDefault="005F5270" w:rsidP="005F5270">
      <w:pPr>
        <w:spacing w:after="0" w:line="240" w:lineRule="auto"/>
        <w:jc w:val="both"/>
        <w:rPr>
          <w:rFonts w:ascii="Tahoma" w:hAnsi="Tahoma" w:cs="Tahoma"/>
          <w:b/>
          <w:shadow/>
          <w:sz w:val="20"/>
          <w:szCs w:val="20"/>
        </w:rPr>
      </w:pPr>
    </w:p>
    <w:p w:rsidR="005F5270" w:rsidRPr="005F5270" w:rsidRDefault="005F5270" w:rsidP="005F5270">
      <w:pPr>
        <w:spacing w:after="0" w:line="240" w:lineRule="auto"/>
        <w:jc w:val="both"/>
        <w:rPr>
          <w:rFonts w:ascii="Tahoma" w:hAnsi="Tahoma" w:cs="Tahoma"/>
          <w:b/>
          <w:shadow/>
          <w:sz w:val="20"/>
          <w:szCs w:val="20"/>
        </w:rPr>
      </w:pPr>
    </w:p>
    <w:p w:rsidR="005F5270" w:rsidRPr="005F5270" w:rsidRDefault="005F5270" w:rsidP="005F5270">
      <w:pPr>
        <w:spacing w:after="0" w:line="240" w:lineRule="auto"/>
        <w:jc w:val="both"/>
        <w:rPr>
          <w:rFonts w:ascii="Tahoma" w:hAnsi="Tahoma" w:cs="Tahoma"/>
          <w:b/>
          <w:shadow/>
          <w:sz w:val="20"/>
          <w:szCs w:val="20"/>
        </w:rPr>
      </w:pPr>
    </w:p>
    <w:p w:rsidR="005F5270" w:rsidRPr="005F5270" w:rsidRDefault="005F5270" w:rsidP="005F5270">
      <w:pPr>
        <w:spacing w:after="0" w:line="240" w:lineRule="auto"/>
        <w:jc w:val="both"/>
        <w:rPr>
          <w:rFonts w:ascii="Tahoma" w:hAnsi="Tahoma" w:cs="Tahoma"/>
          <w:b/>
          <w:shadow/>
          <w:sz w:val="20"/>
          <w:szCs w:val="20"/>
        </w:rPr>
      </w:pPr>
    </w:p>
    <w:p w:rsidR="005F5270" w:rsidRPr="005F5270" w:rsidRDefault="005F5270" w:rsidP="005F5270">
      <w:pPr>
        <w:spacing w:after="0" w:line="240" w:lineRule="auto"/>
        <w:ind w:left="2832" w:firstLine="708"/>
        <w:jc w:val="both"/>
        <w:rPr>
          <w:rFonts w:ascii="Tahoma" w:hAnsi="Tahoma" w:cs="Tahoma"/>
          <w:b/>
          <w:shadow/>
          <w:sz w:val="20"/>
          <w:szCs w:val="20"/>
        </w:rPr>
      </w:pPr>
      <w:r w:rsidRPr="005F5270">
        <w:rPr>
          <w:rFonts w:ascii="Tahoma" w:hAnsi="Tahoma" w:cs="Tahoma"/>
          <w:b/>
          <w:shadow/>
          <w:sz w:val="20"/>
          <w:szCs w:val="20"/>
        </w:rPr>
        <w:t>PRESIDENTE</w:t>
      </w:r>
    </w:p>
    <w:p w:rsidR="005F5270" w:rsidRPr="005F5270" w:rsidRDefault="005F5270" w:rsidP="005F5270">
      <w:pPr>
        <w:spacing w:after="0" w:line="240" w:lineRule="auto"/>
        <w:jc w:val="both"/>
        <w:rPr>
          <w:rFonts w:ascii="Tahoma" w:hAnsi="Tahoma" w:cs="Tahoma"/>
          <w:b/>
          <w:shadow/>
          <w:sz w:val="20"/>
          <w:szCs w:val="20"/>
        </w:rPr>
      </w:pPr>
    </w:p>
    <w:p w:rsidR="005F5270" w:rsidRPr="005F5270" w:rsidRDefault="005F5270" w:rsidP="005F5270">
      <w:pPr>
        <w:spacing w:after="0" w:line="240" w:lineRule="auto"/>
        <w:jc w:val="both"/>
        <w:rPr>
          <w:rFonts w:ascii="Tahoma" w:hAnsi="Tahoma" w:cs="Tahoma"/>
          <w:b/>
          <w:shadow/>
          <w:sz w:val="20"/>
          <w:szCs w:val="20"/>
        </w:rPr>
      </w:pPr>
    </w:p>
    <w:p w:rsidR="005F5270" w:rsidRPr="005F5270" w:rsidRDefault="005F5270" w:rsidP="005F5270">
      <w:pPr>
        <w:spacing w:after="0" w:line="240" w:lineRule="auto"/>
        <w:jc w:val="both"/>
        <w:rPr>
          <w:rFonts w:ascii="Tahoma" w:hAnsi="Tahoma" w:cs="Tahoma"/>
          <w:b/>
          <w:shadow/>
          <w:sz w:val="20"/>
          <w:szCs w:val="20"/>
        </w:rPr>
      </w:pPr>
    </w:p>
    <w:p w:rsidR="005F5270" w:rsidRPr="005F5270" w:rsidRDefault="005F5270" w:rsidP="005F5270">
      <w:pPr>
        <w:spacing w:after="0" w:line="240" w:lineRule="auto"/>
        <w:jc w:val="both"/>
        <w:rPr>
          <w:rFonts w:ascii="Tahoma" w:hAnsi="Tahoma" w:cs="Tahoma"/>
          <w:b/>
          <w:shadow/>
          <w:sz w:val="20"/>
          <w:szCs w:val="20"/>
        </w:rPr>
      </w:pPr>
    </w:p>
    <w:p w:rsidR="005F5270" w:rsidRPr="005F5270" w:rsidRDefault="005F5270" w:rsidP="005F5270">
      <w:pPr>
        <w:spacing w:after="0" w:line="240" w:lineRule="auto"/>
        <w:jc w:val="both"/>
        <w:rPr>
          <w:rFonts w:ascii="Tahoma" w:hAnsi="Tahoma" w:cs="Tahoma"/>
          <w:shadow/>
          <w:sz w:val="20"/>
          <w:szCs w:val="20"/>
        </w:rPr>
      </w:pPr>
      <w:r w:rsidRPr="005F5270">
        <w:rPr>
          <w:rFonts w:ascii="Tahoma" w:hAnsi="Tahoma" w:cs="Tahoma"/>
          <w:b/>
          <w:shadow/>
          <w:sz w:val="20"/>
          <w:szCs w:val="20"/>
        </w:rPr>
        <w:t xml:space="preserve">                  VOCAL</w:t>
      </w:r>
      <w:r w:rsidRPr="005F5270">
        <w:rPr>
          <w:rFonts w:ascii="Tahoma" w:hAnsi="Tahoma" w:cs="Tahoma"/>
          <w:b/>
          <w:shadow/>
          <w:sz w:val="20"/>
          <w:szCs w:val="20"/>
        </w:rPr>
        <w:tab/>
      </w:r>
      <w:r w:rsidRPr="005F5270">
        <w:rPr>
          <w:rFonts w:ascii="Tahoma" w:hAnsi="Tahoma" w:cs="Tahoma"/>
          <w:b/>
          <w:shadow/>
          <w:sz w:val="20"/>
          <w:szCs w:val="20"/>
        </w:rPr>
        <w:tab/>
      </w:r>
      <w:r w:rsidRPr="005F5270">
        <w:rPr>
          <w:rFonts w:ascii="Tahoma" w:hAnsi="Tahoma" w:cs="Tahoma"/>
          <w:b/>
          <w:shadow/>
          <w:sz w:val="20"/>
          <w:szCs w:val="20"/>
        </w:rPr>
        <w:tab/>
      </w:r>
      <w:r w:rsidRPr="005F5270">
        <w:rPr>
          <w:rFonts w:ascii="Tahoma" w:hAnsi="Tahoma" w:cs="Tahoma"/>
          <w:b/>
          <w:shadow/>
          <w:sz w:val="20"/>
          <w:szCs w:val="20"/>
        </w:rPr>
        <w:tab/>
      </w:r>
      <w:r w:rsidRPr="005F5270">
        <w:rPr>
          <w:rFonts w:ascii="Tahoma" w:hAnsi="Tahoma" w:cs="Tahoma"/>
          <w:b/>
          <w:shadow/>
          <w:sz w:val="20"/>
          <w:szCs w:val="20"/>
        </w:rPr>
        <w:tab/>
      </w:r>
      <w:r w:rsidRPr="005F5270">
        <w:rPr>
          <w:rFonts w:ascii="Tahoma" w:hAnsi="Tahoma" w:cs="Tahoma"/>
          <w:b/>
          <w:shadow/>
          <w:sz w:val="20"/>
          <w:szCs w:val="20"/>
        </w:rPr>
        <w:tab/>
      </w:r>
      <w:r w:rsidRPr="005F5270">
        <w:rPr>
          <w:rFonts w:ascii="Tahoma" w:hAnsi="Tahoma" w:cs="Tahoma"/>
          <w:b/>
          <w:shadow/>
          <w:sz w:val="20"/>
          <w:szCs w:val="20"/>
        </w:rPr>
        <w:tab/>
      </w:r>
      <w:r w:rsidRPr="005F5270">
        <w:rPr>
          <w:rFonts w:ascii="Tahoma" w:hAnsi="Tahoma" w:cs="Tahoma"/>
          <w:b/>
          <w:shadow/>
          <w:sz w:val="20"/>
          <w:szCs w:val="20"/>
        </w:rPr>
        <w:tab/>
        <w:t xml:space="preserve">VOCAL                                                                 </w:t>
      </w:r>
    </w:p>
    <w:p w:rsidR="005F5270" w:rsidRPr="005F5270" w:rsidRDefault="005F5270" w:rsidP="005F5270">
      <w:pPr>
        <w:spacing w:after="0" w:line="240" w:lineRule="auto"/>
        <w:jc w:val="both"/>
        <w:rPr>
          <w:rFonts w:ascii="Tahoma" w:hAnsi="Tahoma" w:cs="Tahoma"/>
          <w:sz w:val="20"/>
          <w:szCs w:val="20"/>
        </w:rPr>
      </w:pPr>
    </w:p>
    <w:p w:rsidR="005F5270" w:rsidRPr="005F5270" w:rsidRDefault="005F5270" w:rsidP="005F5270">
      <w:pPr>
        <w:spacing w:after="0" w:line="240" w:lineRule="auto"/>
        <w:jc w:val="both"/>
        <w:rPr>
          <w:rFonts w:ascii="Tahoma" w:hAnsi="Tahoma" w:cs="Tahoma"/>
          <w:sz w:val="20"/>
          <w:szCs w:val="20"/>
        </w:rPr>
      </w:pPr>
    </w:p>
    <w:p w:rsidR="005F5270" w:rsidRPr="005F5270" w:rsidRDefault="005F5270" w:rsidP="005F5270">
      <w:pPr>
        <w:spacing w:after="0" w:line="240" w:lineRule="auto"/>
        <w:jc w:val="both"/>
        <w:rPr>
          <w:rFonts w:ascii="Tahoma" w:hAnsi="Tahoma" w:cs="Tahoma"/>
          <w:sz w:val="20"/>
          <w:szCs w:val="20"/>
        </w:rPr>
      </w:pPr>
    </w:p>
    <w:p w:rsidR="005F5270" w:rsidRPr="005F5270" w:rsidRDefault="005F5270" w:rsidP="005F5270">
      <w:pPr>
        <w:spacing w:after="0" w:line="240" w:lineRule="auto"/>
        <w:jc w:val="both"/>
        <w:rPr>
          <w:rFonts w:ascii="Tahoma" w:hAnsi="Tahoma" w:cs="Tahoma"/>
          <w:sz w:val="20"/>
          <w:szCs w:val="20"/>
        </w:rPr>
      </w:pPr>
    </w:p>
    <w:p w:rsidR="005F5270" w:rsidRPr="005F5270" w:rsidRDefault="005F5270" w:rsidP="005F5270">
      <w:pPr>
        <w:spacing w:after="0" w:line="240" w:lineRule="auto"/>
        <w:jc w:val="both"/>
        <w:rPr>
          <w:rFonts w:ascii="Tahoma" w:hAnsi="Tahoma" w:cs="Tahoma"/>
          <w:sz w:val="18"/>
          <w:szCs w:val="18"/>
        </w:rPr>
      </w:pPr>
    </w:p>
    <w:p w:rsidR="005F5270" w:rsidRPr="005F5270" w:rsidRDefault="005F5270" w:rsidP="005F5270">
      <w:pPr>
        <w:spacing w:after="0" w:line="240" w:lineRule="auto"/>
        <w:jc w:val="both"/>
        <w:rPr>
          <w:rFonts w:ascii="Tahoma" w:hAnsi="Tahoma" w:cs="Tahoma"/>
          <w:sz w:val="18"/>
          <w:szCs w:val="18"/>
        </w:rPr>
      </w:pPr>
      <w:r w:rsidRPr="005F5270">
        <w:rPr>
          <w:rFonts w:ascii="Tahoma" w:hAnsi="Tahoma" w:cs="Tahoma"/>
          <w:sz w:val="18"/>
          <w:szCs w:val="18"/>
        </w:rPr>
        <w:t>ss.</w:t>
      </w:r>
    </w:p>
    <w:p w:rsidR="005F5270" w:rsidRPr="005F5270" w:rsidRDefault="005F5270" w:rsidP="005F5270">
      <w:pPr>
        <w:spacing w:after="0" w:line="240" w:lineRule="auto"/>
        <w:jc w:val="both"/>
        <w:rPr>
          <w:rFonts w:ascii="Tahoma" w:hAnsi="Tahoma" w:cs="Tahoma"/>
          <w:sz w:val="18"/>
          <w:szCs w:val="18"/>
        </w:rPr>
      </w:pPr>
      <w:r w:rsidRPr="005F5270">
        <w:rPr>
          <w:rFonts w:ascii="Tahoma" w:hAnsi="Tahoma" w:cs="Tahoma"/>
          <w:sz w:val="18"/>
          <w:szCs w:val="18"/>
        </w:rPr>
        <w:t>Navas Rondón,</w:t>
      </w:r>
    </w:p>
    <w:p w:rsidR="005F5270" w:rsidRPr="005F5270" w:rsidRDefault="005F5270" w:rsidP="005F5270">
      <w:pPr>
        <w:spacing w:after="0" w:line="240" w:lineRule="auto"/>
        <w:jc w:val="both"/>
        <w:rPr>
          <w:rFonts w:ascii="Tahoma" w:hAnsi="Tahoma" w:cs="Tahoma"/>
          <w:sz w:val="18"/>
          <w:szCs w:val="18"/>
        </w:rPr>
      </w:pPr>
      <w:r w:rsidRPr="005F5270">
        <w:rPr>
          <w:rFonts w:ascii="Tahoma" w:hAnsi="Tahoma" w:cs="Tahoma"/>
          <w:sz w:val="18"/>
          <w:szCs w:val="18"/>
        </w:rPr>
        <w:t>Ramírez Maynetto,</w:t>
      </w:r>
    </w:p>
    <w:p w:rsidR="005F5270" w:rsidRPr="005F5270" w:rsidRDefault="005F5270" w:rsidP="005F5270">
      <w:pPr>
        <w:spacing w:after="0" w:line="240" w:lineRule="auto"/>
        <w:jc w:val="both"/>
        <w:rPr>
          <w:rFonts w:ascii="Tahoma" w:hAnsi="Tahoma" w:cs="Tahoma"/>
          <w:sz w:val="18"/>
          <w:szCs w:val="18"/>
        </w:rPr>
      </w:pPr>
      <w:r w:rsidRPr="005F5270">
        <w:rPr>
          <w:rFonts w:ascii="Tahoma" w:hAnsi="Tahoma" w:cs="Tahoma"/>
          <w:sz w:val="18"/>
          <w:szCs w:val="18"/>
        </w:rPr>
        <w:t>Basulto Liewald.</w:t>
      </w:r>
    </w:p>
    <w:p w:rsidR="005F5270" w:rsidRPr="005F5270" w:rsidRDefault="005F5270" w:rsidP="005F5270">
      <w:pPr>
        <w:rPr>
          <w:rFonts w:ascii="Tahoma" w:hAnsi="Tahoma" w:cs="Tahoma"/>
          <w:sz w:val="20"/>
          <w:szCs w:val="20"/>
        </w:rPr>
      </w:pPr>
    </w:p>
    <w:p w:rsidR="005F5270" w:rsidRPr="005F5270" w:rsidRDefault="005F5270" w:rsidP="005F5270">
      <w:pPr>
        <w:rPr>
          <w:rFonts w:ascii="Tahoma" w:hAnsi="Tahoma" w:cs="Tahoma"/>
          <w:sz w:val="20"/>
          <w:szCs w:val="20"/>
        </w:rPr>
      </w:pPr>
    </w:p>
    <w:p w:rsidR="00260F0B" w:rsidRPr="005F5270" w:rsidRDefault="001B2741">
      <w:pPr>
        <w:rPr>
          <w:rFonts w:ascii="Tahoma" w:hAnsi="Tahoma" w:cs="Tahoma"/>
          <w:sz w:val="20"/>
          <w:szCs w:val="20"/>
        </w:rPr>
      </w:pPr>
    </w:p>
    <w:sectPr w:rsidR="00260F0B" w:rsidRPr="005F5270" w:rsidSect="004F3C81">
      <w:headerReference w:type="default" r:id="rId7"/>
      <w:footerReference w:type="default" r:id="rId8"/>
      <w:pgSz w:w="11906" w:h="16838"/>
      <w:pgMar w:top="2836" w:right="1558" w:bottom="1702" w:left="184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2741" w:rsidRDefault="001B2741" w:rsidP="005F5270">
      <w:pPr>
        <w:spacing w:after="0" w:line="240" w:lineRule="auto"/>
      </w:pPr>
      <w:r>
        <w:separator/>
      </w:r>
    </w:p>
  </w:endnote>
  <w:endnote w:type="continuationSeparator" w:id="1">
    <w:p w:rsidR="001B2741" w:rsidRDefault="001B2741" w:rsidP="005F52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10E" w:rsidRPr="00FD5A0C" w:rsidRDefault="007D1808">
    <w:pPr>
      <w:pStyle w:val="Piedepgina"/>
      <w:jc w:val="center"/>
      <w:rPr>
        <w:rFonts w:ascii="Tahoma" w:hAnsi="Tahoma" w:cs="Tahoma"/>
        <w:i/>
        <w:sz w:val="18"/>
        <w:szCs w:val="18"/>
      </w:rPr>
    </w:pPr>
    <w:r w:rsidRPr="00FD5A0C">
      <w:rPr>
        <w:rFonts w:ascii="Tahoma" w:hAnsi="Tahoma" w:cs="Tahoma"/>
        <w:i/>
        <w:sz w:val="18"/>
        <w:szCs w:val="18"/>
      </w:rPr>
      <w:t xml:space="preserve">Página </w:t>
    </w:r>
    <w:r w:rsidR="00845CAC" w:rsidRPr="00FD5A0C">
      <w:rPr>
        <w:rFonts w:ascii="Tahoma" w:hAnsi="Tahoma" w:cs="Tahoma"/>
        <w:i/>
        <w:sz w:val="18"/>
        <w:szCs w:val="18"/>
      </w:rPr>
      <w:fldChar w:fldCharType="begin"/>
    </w:r>
    <w:r w:rsidRPr="00FD5A0C">
      <w:rPr>
        <w:rFonts w:ascii="Tahoma" w:hAnsi="Tahoma" w:cs="Tahoma"/>
        <w:i/>
        <w:sz w:val="18"/>
        <w:szCs w:val="18"/>
      </w:rPr>
      <w:instrText>PAGE</w:instrText>
    </w:r>
    <w:r w:rsidR="00845CAC" w:rsidRPr="00FD5A0C">
      <w:rPr>
        <w:rFonts w:ascii="Tahoma" w:hAnsi="Tahoma" w:cs="Tahoma"/>
        <w:i/>
        <w:sz w:val="18"/>
        <w:szCs w:val="18"/>
      </w:rPr>
      <w:fldChar w:fldCharType="separate"/>
    </w:r>
    <w:r w:rsidR="00A21300">
      <w:rPr>
        <w:rFonts w:ascii="Tahoma" w:hAnsi="Tahoma" w:cs="Tahoma"/>
        <w:i/>
        <w:noProof/>
        <w:sz w:val="18"/>
        <w:szCs w:val="18"/>
      </w:rPr>
      <w:t>1</w:t>
    </w:r>
    <w:r w:rsidR="00845CAC" w:rsidRPr="00FD5A0C">
      <w:rPr>
        <w:rFonts w:ascii="Tahoma" w:hAnsi="Tahoma" w:cs="Tahoma"/>
        <w:i/>
        <w:sz w:val="18"/>
        <w:szCs w:val="18"/>
      </w:rPr>
      <w:fldChar w:fldCharType="end"/>
    </w:r>
    <w:r w:rsidRPr="00FD5A0C">
      <w:rPr>
        <w:rFonts w:ascii="Tahoma" w:hAnsi="Tahoma" w:cs="Tahoma"/>
        <w:i/>
        <w:sz w:val="18"/>
        <w:szCs w:val="18"/>
      </w:rPr>
      <w:t xml:space="preserve"> de </w:t>
    </w:r>
    <w:r w:rsidR="00845CAC" w:rsidRPr="00FD5A0C">
      <w:rPr>
        <w:rFonts w:ascii="Tahoma" w:hAnsi="Tahoma" w:cs="Tahoma"/>
        <w:i/>
        <w:sz w:val="18"/>
        <w:szCs w:val="18"/>
      </w:rPr>
      <w:fldChar w:fldCharType="begin"/>
    </w:r>
    <w:r w:rsidRPr="00FD5A0C">
      <w:rPr>
        <w:rFonts w:ascii="Tahoma" w:hAnsi="Tahoma" w:cs="Tahoma"/>
        <w:i/>
        <w:sz w:val="18"/>
        <w:szCs w:val="18"/>
      </w:rPr>
      <w:instrText>NUMPAGES</w:instrText>
    </w:r>
    <w:r w:rsidR="00845CAC" w:rsidRPr="00FD5A0C">
      <w:rPr>
        <w:rFonts w:ascii="Tahoma" w:hAnsi="Tahoma" w:cs="Tahoma"/>
        <w:i/>
        <w:sz w:val="18"/>
        <w:szCs w:val="18"/>
      </w:rPr>
      <w:fldChar w:fldCharType="separate"/>
    </w:r>
    <w:r w:rsidR="00A21300">
      <w:rPr>
        <w:rFonts w:ascii="Tahoma" w:hAnsi="Tahoma" w:cs="Tahoma"/>
        <w:i/>
        <w:noProof/>
        <w:sz w:val="18"/>
        <w:szCs w:val="18"/>
      </w:rPr>
      <w:t>7</w:t>
    </w:r>
    <w:r w:rsidR="00845CAC" w:rsidRPr="00FD5A0C">
      <w:rPr>
        <w:rFonts w:ascii="Tahoma" w:hAnsi="Tahoma" w:cs="Tahoma"/>
        <w:i/>
        <w:sz w:val="18"/>
        <w:szCs w:val="18"/>
      </w:rPr>
      <w:fldChar w:fldCharType="end"/>
    </w:r>
  </w:p>
  <w:p w:rsidR="003A110E" w:rsidRDefault="001B274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2741" w:rsidRDefault="001B2741" w:rsidP="005F5270">
      <w:pPr>
        <w:spacing w:after="0" w:line="240" w:lineRule="auto"/>
      </w:pPr>
      <w:r>
        <w:separator/>
      </w:r>
    </w:p>
  </w:footnote>
  <w:footnote w:type="continuationSeparator" w:id="1">
    <w:p w:rsidR="001B2741" w:rsidRDefault="001B2741" w:rsidP="005F5270">
      <w:pPr>
        <w:spacing w:after="0" w:line="240" w:lineRule="auto"/>
      </w:pPr>
      <w:r>
        <w:continuationSeparator/>
      </w:r>
    </w:p>
  </w:footnote>
  <w:footnote w:id="2">
    <w:p w:rsidR="005F5270" w:rsidRPr="00D23CA0" w:rsidRDefault="005F5270" w:rsidP="005F5270">
      <w:pPr>
        <w:pStyle w:val="Textonotapie"/>
        <w:rPr>
          <w:sz w:val="16"/>
          <w:szCs w:val="16"/>
        </w:rPr>
      </w:pPr>
      <w:r w:rsidRPr="00D23CA0">
        <w:rPr>
          <w:rStyle w:val="Refdenotaalpie"/>
          <w:sz w:val="16"/>
          <w:szCs w:val="16"/>
        </w:rPr>
        <w:footnoteRef/>
      </w:r>
      <w:r w:rsidRPr="00D23CA0">
        <w:rPr>
          <w:sz w:val="16"/>
          <w:szCs w:val="16"/>
        </w:rPr>
        <w:t xml:space="preserve"> “</w:t>
      </w:r>
      <w:r w:rsidRPr="00D23CA0">
        <w:rPr>
          <w:b/>
          <w:bCs/>
          <w:sz w:val="16"/>
          <w:szCs w:val="16"/>
        </w:rPr>
        <w:t>Artículo 294.- Causales de aplicación de sanción a los proveedores, participantes postores y contratistas.-</w:t>
      </w:r>
      <w:r w:rsidRPr="00D23CA0">
        <w:rPr>
          <w:sz w:val="16"/>
          <w:szCs w:val="16"/>
        </w:rPr>
        <w:t xml:space="preserve"> El Tribunal impondrá sanción administrativa de suspensión o inhabilitación temporal o definitiva a los proveedores, participantes postores y/o contratistas que:</w:t>
      </w:r>
    </w:p>
    <w:p w:rsidR="005F5270" w:rsidRPr="00D23CA0" w:rsidRDefault="005F5270" w:rsidP="005F5270">
      <w:pPr>
        <w:pStyle w:val="Textonotapie"/>
        <w:rPr>
          <w:sz w:val="16"/>
          <w:szCs w:val="16"/>
        </w:rPr>
      </w:pPr>
      <w:r w:rsidRPr="00D23CA0">
        <w:rPr>
          <w:sz w:val="16"/>
          <w:szCs w:val="16"/>
        </w:rPr>
        <w:t xml:space="preserve">(…) </w:t>
      </w:r>
    </w:p>
    <w:p w:rsidR="005F5270" w:rsidRPr="00D23CA0" w:rsidRDefault="005F5270" w:rsidP="005F5270">
      <w:pPr>
        <w:pStyle w:val="Textonotapie"/>
        <w:rPr>
          <w:sz w:val="16"/>
          <w:szCs w:val="16"/>
        </w:rPr>
      </w:pPr>
      <w:r w:rsidRPr="00D23CA0">
        <w:rPr>
          <w:sz w:val="16"/>
          <w:szCs w:val="16"/>
        </w:rPr>
        <w:t>10) Presenten documentos falsos o con información inexacta en los procedimientos seguidos ante el Registro Nacional de proveedores;</w:t>
      </w:r>
    </w:p>
    <w:p w:rsidR="005F5270" w:rsidRPr="00D23CA0" w:rsidRDefault="005F5270" w:rsidP="005F5270">
      <w:pPr>
        <w:pStyle w:val="Textonotapie"/>
        <w:rPr>
          <w:sz w:val="16"/>
          <w:szCs w:val="16"/>
        </w:rPr>
      </w:pPr>
      <w:r w:rsidRPr="00D23CA0">
        <w:rPr>
          <w:sz w:val="16"/>
          <w:szCs w:val="16"/>
        </w:rPr>
        <w:t>(…)”.</w:t>
      </w:r>
    </w:p>
    <w:p w:rsidR="005F5270" w:rsidRDefault="005F5270" w:rsidP="005F5270">
      <w:pPr>
        <w:pStyle w:val="Textonotapie"/>
      </w:pPr>
    </w:p>
  </w:footnote>
  <w:footnote w:id="3">
    <w:p w:rsidR="005F5270" w:rsidRPr="009F1F66" w:rsidRDefault="005F5270" w:rsidP="005F5270">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9F1F66">
        <w:rPr>
          <w:rStyle w:val="Refdenotaalpie"/>
          <w:sz w:val="18"/>
          <w:szCs w:val="18"/>
        </w:rPr>
        <w:footnoteRef/>
      </w:r>
      <w:r w:rsidRPr="009F1F66">
        <w:rPr>
          <w:sz w:val="18"/>
          <w:szCs w:val="18"/>
        </w:rPr>
        <w:t xml:space="preserve"> </w:t>
      </w:r>
      <w:r w:rsidRPr="00D23CA0">
        <w:rPr>
          <w:b/>
          <w:bCs/>
          <w:sz w:val="16"/>
          <w:szCs w:val="16"/>
        </w:rPr>
        <w:t xml:space="preserve">5. </w:t>
      </w:r>
      <w:r w:rsidRPr="00D23CA0">
        <w:rPr>
          <w:sz w:val="16"/>
          <w:szCs w:val="16"/>
        </w:rPr>
        <w:t>Irretroactividad.- Son aplicables las disposiciones sancionadoras vigentes en el momento de incurrir el administrado en la conducta a sancionar, salvo que las posteriores le sean más favorables</w:t>
      </w:r>
      <w:r w:rsidRPr="009F1F66">
        <w:rPr>
          <w:sz w:val="18"/>
          <w:szCs w:val="18"/>
        </w:rPr>
        <w:t>.</w:t>
      </w:r>
    </w:p>
    <w:p w:rsidR="005F5270" w:rsidRDefault="005F5270" w:rsidP="005F5270">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footnote>
  <w:footnote w:id="4">
    <w:p w:rsidR="005F5270" w:rsidRDefault="005F5270" w:rsidP="005F5270">
      <w:pPr>
        <w:pStyle w:val="Textonotapie"/>
      </w:pPr>
      <w:r>
        <w:rPr>
          <w:rStyle w:val="Refdenotaalpie"/>
          <w:sz w:val="16"/>
          <w:szCs w:val="16"/>
        </w:rPr>
        <w:footnoteRef/>
      </w:r>
      <w:r>
        <w:rPr>
          <w:sz w:val="16"/>
          <w:szCs w:val="16"/>
        </w:rPr>
        <w:t xml:space="preserve"> </w:t>
      </w:r>
      <w:r w:rsidRPr="000D3404">
        <w:rPr>
          <w:b/>
          <w:bCs/>
          <w:sz w:val="16"/>
          <w:szCs w:val="16"/>
        </w:rPr>
        <w:t>Principio de Privilegio de Controles Posteriores.-</w:t>
      </w:r>
      <w:r w:rsidRPr="000D3404">
        <w:rPr>
          <w:sz w:val="16"/>
          <w:szCs w:val="16"/>
        </w:rPr>
        <w:t xml:space="preserve"> 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w:t>
      </w:r>
    </w:p>
  </w:footnote>
  <w:footnote w:id="5">
    <w:p w:rsidR="005F5270" w:rsidRDefault="005F5270" w:rsidP="005F5270">
      <w:pPr>
        <w:pStyle w:val="Textonotapie"/>
      </w:pPr>
      <w:r w:rsidRPr="000D3404">
        <w:rPr>
          <w:rStyle w:val="Refdenotaalpie"/>
          <w:sz w:val="16"/>
          <w:szCs w:val="16"/>
        </w:rPr>
        <w:footnoteRef/>
      </w:r>
      <w:r w:rsidRPr="000D3404">
        <w:rPr>
          <w:sz w:val="16"/>
          <w:szCs w:val="16"/>
        </w:rPr>
        <w:t xml:space="preserve"> Documento obrante a fojas 011 de autos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300" w:rsidRDefault="00A21300" w:rsidP="00A21300">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A21300" w:rsidRDefault="00A21300" w:rsidP="00A21300">
    <w:pPr>
      <w:pStyle w:val="Encabezado"/>
      <w:rPr>
        <w:noProof/>
      </w:rPr>
    </w:pPr>
  </w:p>
  <w:p w:rsidR="00A21300" w:rsidRDefault="00A21300" w:rsidP="00A21300">
    <w:pPr>
      <w:pStyle w:val="Encabezado"/>
      <w:jc w:val="center"/>
      <w:rPr>
        <w:rFonts w:ascii="Monotype Corsiva" w:hAnsi="Monotype Corsiva"/>
        <w:b/>
        <w:sz w:val="44"/>
        <w:szCs w:val="44"/>
      </w:rPr>
    </w:pPr>
  </w:p>
  <w:p w:rsidR="00A21300" w:rsidRDefault="00A21300" w:rsidP="00A21300">
    <w:pPr>
      <w:pStyle w:val="Encabezado"/>
      <w:jc w:val="center"/>
    </w:pPr>
    <w:r>
      <w:rPr>
        <w:rFonts w:ascii="Monotype Corsiva" w:hAnsi="Monotype Corsiva"/>
        <w:b/>
        <w:sz w:val="44"/>
        <w:szCs w:val="44"/>
      </w:rPr>
      <w:t xml:space="preserve">Resolución Nº   </w:t>
    </w:r>
    <w:r>
      <w:rPr>
        <w:rFonts w:ascii="Tahoma" w:hAnsi="Tahoma" w:cs="Tahoma"/>
        <w:b/>
        <w:sz w:val="44"/>
        <w:szCs w:val="44"/>
      </w:rPr>
      <w:t>1050-2011-TC-S1</w:t>
    </w:r>
  </w:p>
  <w:p w:rsidR="00A21300" w:rsidRDefault="00A2130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786"/>
        </w:tabs>
        <w:ind w:left="786"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1080"/>
        </w:tabs>
        <w:ind w:left="10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CEA1DE0"/>
    <w:multiLevelType w:val="hybridMultilevel"/>
    <w:tmpl w:val="4DB22C10"/>
    <w:lvl w:ilvl="0" w:tplc="A8B6CD7C">
      <w:start w:val="1"/>
      <w:numFmt w:val="decimal"/>
      <w:lvlText w:val="%1."/>
      <w:lvlJc w:val="left"/>
      <w:pPr>
        <w:ind w:left="1440" w:hanging="360"/>
      </w:pPr>
      <w:rPr>
        <w:b/>
        <w:bCs/>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2">
    <w:nsid w:val="3CDF6F1B"/>
    <w:multiLevelType w:val="hybridMultilevel"/>
    <w:tmpl w:val="C5A8305A"/>
    <w:lvl w:ilvl="0" w:tplc="B1A6D17A">
      <w:start w:val="1"/>
      <w:numFmt w:val="lowerLetter"/>
      <w:lvlText w:val="%1)"/>
      <w:lvlJc w:val="left"/>
      <w:pPr>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4ADA5249"/>
    <w:multiLevelType w:val="multilevel"/>
    <w:tmpl w:val="AE546D80"/>
    <w:lvl w:ilvl="0">
      <w:start w:val="1"/>
      <w:numFmt w:val="decimal"/>
      <w:lvlText w:val="%1."/>
      <w:lvlJc w:val="left"/>
      <w:pPr>
        <w:tabs>
          <w:tab w:val="num" w:pos="360"/>
        </w:tabs>
        <w:ind w:left="360" w:hanging="360"/>
      </w:pPr>
      <w:rPr>
        <w:b/>
        <w:bCs/>
        <w:i w:val="0"/>
        <w:i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5F5270"/>
    <w:rsid w:val="001B2741"/>
    <w:rsid w:val="004F3C81"/>
    <w:rsid w:val="005F5270"/>
    <w:rsid w:val="0066645E"/>
    <w:rsid w:val="007D1808"/>
    <w:rsid w:val="00845CAC"/>
    <w:rsid w:val="0096071E"/>
    <w:rsid w:val="009A56AB"/>
    <w:rsid w:val="00A21300"/>
    <w:rsid w:val="00A514B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270"/>
    <w:rPr>
      <w:rFonts w:ascii="Calibri" w:eastAsia="Calibri" w:hAnsi="Calibri" w:cs="Times New Roman"/>
    </w:rPr>
  </w:style>
  <w:style w:type="paragraph" w:styleId="Ttulo2">
    <w:name w:val="heading 2"/>
    <w:basedOn w:val="Normal"/>
    <w:next w:val="Normal"/>
    <w:link w:val="Ttulo2Car"/>
    <w:qFormat/>
    <w:rsid w:val="005F5270"/>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5F5270"/>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5F5270"/>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5F5270"/>
    <w:rPr>
      <w:rFonts w:ascii="Arial" w:eastAsia="Calibri" w:hAnsi="Arial" w:cs="Arial"/>
      <w:b/>
      <w:bCs/>
      <w:sz w:val="26"/>
      <w:szCs w:val="26"/>
    </w:rPr>
  </w:style>
  <w:style w:type="paragraph" w:styleId="Textoindependiente3">
    <w:name w:val="Body Text 3"/>
    <w:basedOn w:val="Normal"/>
    <w:link w:val="Textoindependiente3Car"/>
    <w:semiHidden/>
    <w:unhideWhenUsed/>
    <w:rsid w:val="005F5270"/>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5F5270"/>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5F5270"/>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5F5270"/>
    <w:pPr>
      <w:tabs>
        <w:tab w:val="center" w:pos="4252"/>
        <w:tab w:val="right" w:pos="8504"/>
      </w:tabs>
    </w:pPr>
  </w:style>
  <w:style w:type="character" w:customStyle="1" w:styleId="PiedepginaCar">
    <w:name w:val="Pie de página Car"/>
    <w:basedOn w:val="Fuentedeprrafopredeter"/>
    <w:link w:val="Piedepgina"/>
    <w:uiPriority w:val="99"/>
    <w:rsid w:val="005F5270"/>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Car2 Car1 Car,Texto independiente11"/>
    <w:basedOn w:val="Normal"/>
    <w:link w:val="TextonotapieCar"/>
    <w:uiPriority w:val="99"/>
    <w:rsid w:val="005F5270"/>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5F5270"/>
    <w:rPr>
      <w:rFonts w:ascii="Tahoma" w:eastAsia="Calibri" w:hAnsi="Tahoma" w:cs="Tahoma"/>
      <w:sz w:val="20"/>
      <w:szCs w:val="20"/>
    </w:rPr>
  </w:style>
  <w:style w:type="character" w:styleId="Refdenotaalpie">
    <w:name w:val="footnote reference"/>
    <w:basedOn w:val="Fuentedeprrafopredeter"/>
    <w:uiPriority w:val="99"/>
    <w:semiHidden/>
    <w:rsid w:val="005F5270"/>
    <w:rPr>
      <w:vertAlign w:val="superscript"/>
    </w:rPr>
  </w:style>
  <w:style w:type="paragraph" w:styleId="Textoindependiente">
    <w:name w:val="Body Text"/>
    <w:basedOn w:val="Normal"/>
    <w:link w:val="TextoindependienteCar"/>
    <w:uiPriority w:val="99"/>
    <w:semiHidden/>
    <w:unhideWhenUsed/>
    <w:rsid w:val="005F5270"/>
    <w:pPr>
      <w:spacing w:after="120"/>
    </w:pPr>
  </w:style>
  <w:style w:type="character" w:customStyle="1" w:styleId="TextoindependienteCar">
    <w:name w:val="Texto independiente Car"/>
    <w:basedOn w:val="Fuentedeprrafopredeter"/>
    <w:link w:val="Textoindependiente"/>
    <w:uiPriority w:val="99"/>
    <w:semiHidden/>
    <w:rsid w:val="005F5270"/>
    <w:rPr>
      <w:rFonts w:ascii="Calibri" w:eastAsia="Calibri" w:hAnsi="Calibri" w:cs="Times New Roman"/>
    </w:rPr>
  </w:style>
  <w:style w:type="paragraph" w:styleId="NormalWeb">
    <w:name w:val="Normal (Web)"/>
    <w:basedOn w:val="Normal"/>
    <w:uiPriority w:val="99"/>
    <w:rsid w:val="005F5270"/>
    <w:pPr>
      <w:spacing w:before="100" w:beforeAutospacing="1" w:after="100" w:afterAutospacing="1" w:line="240" w:lineRule="auto"/>
    </w:pPr>
    <w:rPr>
      <w:rFonts w:ascii="Times New Roman" w:hAnsi="Times New Roman"/>
      <w:sz w:val="24"/>
      <w:szCs w:val="24"/>
      <w:lang w:eastAsia="es-ES"/>
    </w:rPr>
  </w:style>
  <w:style w:type="character" w:styleId="Textoennegrita">
    <w:name w:val="Strong"/>
    <w:basedOn w:val="Fuentedeprrafopredeter"/>
    <w:uiPriority w:val="99"/>
    <w:qFormat/>
    <w:rsid w:val="005F5270"/>
    <w:rPr>
      <w:b/>
      <w:bCs/>
    </w:rPr>
  </w:style>
  <w:style w:type="paragraph" w:customStyle="1" w:styleId="Prrafodelista1">
    <w:name w:val="Párrafo de lista1"/>
    <w:basedOn w:val="Normal"/>
    <w:uiPriority w:val="99"/>
    <w:rsid w:val="005F5270"/>
    <w:pPr>
      <w:spacing w:after="0" w:line="240" w:lineRule="auto"/>
      <w:ind w:left="720"/>
    </w:pPr>
    <w:rPr>
      <w:rFonts w:ascii="Times New Roman" w:hAnsi="Times New Roman"/>
      <w:sz w:val="24"/>
      <w:szCs w:val="24"/>
      <w:lang w:eastAsia="es-ES"/>
    </w:rPr>
  </w:style>
  <w:style w:type="paragraph" w:customStyle="1" w:styleId="Prrafodelista2">
    <w:name w:val="Párrafo de lista2"/>
    <w:basedOn w:val="Normal"/>
    <w:rsid w:val="005F5270"/>
    <w:pPr>
      <w:spacing w:after="0" w:line="240" w:lineRule="auto"/>
      <w:ind w:left="720"/>
    </w:pPr>
    <w:rPr>
      <w:rFonts w:ascii="Times New Roman" w:eastAsia="Times New Roman" w:hAnsi="Times New Roman"/>
      <w:sz w:val="24"/>
      <w:szCs w:val="24"/>
      <w:lang w:eastAsia="es-ES"/>
    </w:rPr>
  </w:style>
  <w:style w:type="paragraph" w:styleId="Encabezado">
    <w:name w:val="header"/>
    <w:aliases w:val="maria,h"/>
    <w:basedOn w:val="Normal"/>
    <w:link w:val="EncabezadoCar"/>
    <w:uiPriority w:val="99"/>
    <w:semiHidden/>
    <w:unhideWhenUsed/>
    <w:rsid w:val="00A21300"/>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A2130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2924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2664</Words>
  <Characters>14655</Characters>
  <Application>Microsoft Office Word</Application>
  <DocSecurity>0</DocSecurity>
  <Lines>122</Lines>
  <Paragraphs>34</Paragraphs>
  <ScaleCrop>false</ScaleCrop>
  <Company/>
  <LinksUpToDate>false</LinksUpToDate>
  <CharactersWithSpaces>17285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5</cp:revision>
  <cp:lastPrinted>2011-06-15T21:29:00Z</cp:lastPrinted>
  <dcterms:created xsi:type="dcterms:W3CDTF">2011-06-15T21:20:00Z</dcterms:created>
  <dcterms:modified xsi:type="dcterms:W3CDTF">2011-07-22T20:24:00Z</dcterms:modified>
</cp:coreProperties>
</file>